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B5" w:rsidRDefault="006E14B5" w:rsidP="00F26303"/>
    <w:p w:rsidR="00F26303" w:rsidRDefault="00F26303" w:rsidP="00F26303">
      <w:proofErr w:type="gramStart"/>
      <w:r>
        <w:t>9.04.2026 LNR RAPORT 2025 MOF.</w:t>
      </w:r>
      <w:proofErr w:type="gramEnd"/>
      <w:r>
        <w:t xml:space="preserve"> </w:t>
      </w:r>
      <w:r w:rsidR="00BF0E58" w:rsidRPr="00F26303">
        <w:rPr>
          <w:rFonts w:ascii="Times New Roman" w:eastAsia="Times New Roman" w:hAnsi="Times New Roman" w:cs="Times New Roman"/>
          <w:sz w:val="24"/>
          <w:szCs w:val="24"/>
        </w:rPr>
        <w:t>2023 din data de 02-apr-2026</w:t>
      </w:r>
    </w:p>
    <w:p w:rsidR="00F26303" w:rsidRDefault="00F26303" w:rsidP="00F26303"/>
    <w:p w:rsidR="00F26303" w:rsidRPr="00F26303" w:rsidRDefault="00F26303" w:rsidP="00F2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26303">
        <w:rPr>
          <w:rFonts w:ascii="Times New Roman" w:eastAsia="Times New Roman" w:hAnsi="Times New Roman" w:cs="Times New Roman"/>
          <w:b/>
          <w:bCs/>
          <w:sz w:val="27"/>
          <w:szCs w:val="27"/>
        </w:rPr>
        <w:t>Raport</w:t>
      </w:r>
      <w:proofErr w:type="spellEnd"/>
      <w:r w:rsidRPr="00F2630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b/>
          <w:bCs/>
          <w:sz w:val="27"/>
          <w:szCs w:val="27"/>
        </w:rPr>
        <w:t>activitate</w:t>
      </w:r>
      <w:proofErr w:type="spell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LIGA NAVALĂ ROMÂNĂ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RAPORT DE ACTIVITATE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LIGII NAVALE ROMÂNE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Liga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Navală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desfăşurat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program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1.20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2025 -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rotundă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LNR - 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Constanţa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 Port Business Association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portuar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2.20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martie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2025 -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Centrul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Multifuncţional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Jean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Constantin</w:t>
      </w:r>
      <w:proofErr w:type="spell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Evenimentul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Furtună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Pacific 4.0 - marina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cinematografia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proiecţia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peliculei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Furtună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Pacific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prezenţa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actorilor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Lucian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Nuţă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Florin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Chiriac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Liviu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Manolache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parte 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distribuţiei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 –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Mangalia</w:t>
      </w:r>
      <w:proofErr w:type="spell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Reprezentarea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LNR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festivităţile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ocazionate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Ziua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apelor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4.30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2025 - Academia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Navală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Mircea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Bătrân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Reprezentarea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festivitatea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absolvire</w:t>
      </w:r>
      <w:proofErr w:type="spellEnd"/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promoţiei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 Regina Maria 150 - 247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absolvenţi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(55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MApN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9 MAI, 183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secţia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civilă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6.14 august 2025 -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Crucea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Marinarilor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Faleza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Cazino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prim-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vicepreşedinte</w:t>
      </w:r>
      <w:proofErr w:type="spellEnd"/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ceremonia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comemorare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eroilor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marinari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7.15 august 2025 -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Comandamentul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Flotei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Faleza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Comandamentului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Flotei</w:t>
      </w:r>
      <w:proofErr w:type="spell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prim-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vicepreşedinte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festivităţile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ocazionate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Ziua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Marinei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Române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8.29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2025 - Academia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Navală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Mircea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Bătrân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Constanţa</w:t>
      </w:r>
      <w:proofErr w:type="spell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Liga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Navală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reprezentată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preşedintelui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vicepreşedinţilor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Director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Naţional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evenimentul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prilejuit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deschiderea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academic 2025 - 2026 la Academia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Navală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Mircea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Bătrân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Constanţa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EXTRAS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situaţiilor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asociaţiile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fundaţiile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federaţiile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recunoscute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utilitate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lastRenderedPageBreak/>
        <w:t>Entitate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LIGA NAVALĂ ROMÂNĂ;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Griviţei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nr. 121,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1, cod 010707,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/Fax: +4021/311.60.10, +4034/181.80.84;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website</w:t>
      </w:r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>: www.lnr.ro;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/data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înscrierii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asociaţilor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fundaţiilor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: nr. </w:t>
      </w: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63633 1349/A/1990;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înscrierii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federaţiilor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: -;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recunoaştere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utilităţii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Guvern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nr. 1236/2007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publicată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I, nr.</w:t>
      </w:r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698/16.10.2007;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înregistrare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: 7025860;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Indicatorii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situaţiile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2025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Indicatorii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bilanţ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lei): A. Active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imobilizate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: 363 lei; B. Active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circulante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: 26.520 lei; C.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avans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89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Datorii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plătite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la un an: 17.799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E. Active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circulante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nete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datorii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curente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nete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7.010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F. Total active minus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datorii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curente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7.373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Datorii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plătite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mare de un an: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Provizioane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avans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1.800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Capitaluri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7.373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capitaluri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7.373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II.Indicatori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contul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rezultatului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exerciţiului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lei): -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patrimonial, 19.240 lei din care: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obţinute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stat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la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bugetele</w:t>
      </w:r>
      <w:proofErr w:type="spellEnd"/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subvenţii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patrimonial, 7.190 lei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care: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stat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bugetele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locale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subvenţii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Excedent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patrimonial: 12.050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-Deficit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patrimonial: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destinaţie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specială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destinaţie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specială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Excedent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destinaţie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specială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-Deficit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destinaţie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specială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9.374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43.117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Excedent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-Deficit din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economice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33.743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28.614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50.307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Excedent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 0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-Deficit: 21.693 lei;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desfăşurate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patrimonial, cod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clasă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CAEN: 9499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Efectivul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personal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2025: 0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financiară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, cod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clasă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CAEN: 9499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Efectivul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personal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2025: 0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efectivă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funcţionare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2025 (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>): 12.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03">
        <w:rPr>
          <w:rFonts w:ascii="Times New Roman" w:eastAsia="Times New Roman" w:hAnsi="Times New Roman" w:cs="Times New Roman"/>
          <w:sz w:val="24"/>
          <w:szCs w:val="24"/>
        </w:rPr>
        <w:t>(79/9.355.658)</w:t>
      </w:r>
    </w:p>
    <w:p w:rsidR="00F26303" w:rsidRPr="00F26303" w:rsidRDefault="00F26303" w:rsidP="00F26303">
      <w:pPr>
        <w:spacing w:before="12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Publicat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2630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IV-a cu </w:t>
      </w:r>
      <w:proofErr w:type="spellStart"/>
      <w:r w:rsidRPr="00F26303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F26303">
        <w:rPr>
          <w:rFonts w:ascii="Times New Roman" w:eastAsia="Times New Roman" w:hAnsi="Times New Roman" w:cs="Times New Roman"/>
          <w:sz w:val="24"/>
          <w:szCs w:val="24"/>
        </w:rPr>
        <w:t xml:space="preserve"> 2023 din data de 02-apr-2026</w:t>
      </w:r>
    </w:p>
    <w:p w:rsidR="00F26303" w:rsidRPr="00F26303" w:rsidRDefault="00F26303" w:rsidP="00F26303"/>
    <w:sectPr w:rsidR="00F26303" w:rsidRPr="00F26303" w:rsidSect="00D4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4B5"/>
    <w:rsid w:val="001C2787"/>
    <w:rsid w:val="0026446A"/>
    <w:rsid w:val="005A2514"/>
    <w:rsid w:val="00657384"/>
    <w:rsid w:val="006E14B5"/>
    <w:rsid w:val="00711DE0"/>
    <w:rsid w:val="00923B94"/>
    <w:rsid w:val="00B7717B"/>
    <w:rsid w:val="00BF0E58"/>
    <w:rsid w:val="00D42621"/>
    <w:rsid w:val="00DE2449"/>
    <w:rsid w:val="00F26303"/>
    <w:rsid w:val="00FF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D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63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2026-04-09T07:15:00Z</dcterms:created>
  <dcterms:modified xsi:type="dcterms:W3CDTF">2026-04-09T09:27:00Z</dcterms:modified>
</cp:coreProperties>
</file>