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B3" w:rsidRDefault="00FF01B3">
      <w:pPr>
        <w:pStyle w:val="Heading3"/>
        <w:spacing w:line="345" w:lineRule="atLeast"/>
        <w:divId w:val="1183398305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Ministerul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Sănătăţii</w:t>
      </w:r>
      <w:proofErr w:type="spellEnd"/>
      <w:r>
        <w:rPr>
          <w:rFonts w:ascii="Arial" w:eastAsia="Times New Roman" w:hAnsi="Arial" w:cs="Arial"/>
          <w:color w:val="333333"/>
        </w:rPr>
        <w:t xml:space="preserve"> - MS</w:t>
      </w:r>
    </w:p>
    <w:p w:rsidR="00FF01B3" w:rsidRDefault="00FF01B3">
      <w:pPr>
        <w:pStyle w:val="Heading1"/>
        <w:divId w:val="1183398305"/>
        <w:rPr>
          <w:rFonts w:eastAsia="Times New Roman" w:cs="Arial"/>
        </w:rPr>
      </w:pPr>
      <w:proofErr w:type="spellStart"/>
      <w:proofErr w:type="gramStart"/>
      <w:r>
        <w:rPr>
          <w:rFonts w:eastAsia="Times New Roman" w:cs="Arial"/>
        </w:rPr>
        <w:t>Ordinul</w:t>
      </w:r>
      <w:proofErr w:type="spellEnd"/>
      <w:r>
        <w:rPr>
          <w:rFonts w:eastAsia="Times New Roman" w:cs="Arial"/>
        </w:rPr>
        <w:t xml:space="preserve"> nr.</w:t>
      </w:r>
      <w:proofErr w:type="gramEnd"/>
      <w:r>
        <w:rPr>
          <w:rFonts w:eastAsia="Times New Roman" w:cs="Arial"/>
        </w:rPr>
        <w:t xml:space="preserve"> </w:t>
      </w:r>
      <w:proofErr w:type="gramStart"/>
      <w:r>
        <w:rPr>
          <w:rFonts w:eastAsia="Times New Roman" w:cs="Arial"/>
        </w:rPr>
        <w:t xml:space="preserve">591/524/2026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modificarea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completarea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anexei</w:t>
      </w:r>
      <w:proofErr w:type="spellEnd"/>
      <w:r>
        <w:rPr>
          <w:rFonts w:eastAsia="Times New Roman" w:cs="Arial"/>
        </w:rPr>
        <w:t xml:space="preserve"> nr.</w:t>
      </w:r>
      <w:proofErr w:type="gramEnd"/>
      <w:r>
        <w:rPr>
          <w:rFonts w:eastAsia="Times New Roman" w:cs="Arial"/>
        </w:rPr>
        <w:t xml:space="preserve"> </w:t>
      </w:r>
      <w:proofErr w:type="gramStart"/>
      <w:r>
        <w:rPr>
          <w:rFonts w:eastAsia="Times New Roman" w:cs="Arial"/>
        </w:rPr>
        <w:t xml:space="preserve">2 la </w:t>
      </w:r>
      <w:proofErr w:type="spellStart"/>
      <w:r>
        <w:rPr>
          <w:rFonts w:eastAsia="Times New Roman" w:cs="Arial"/>
        </w:rPr>
        <w:t>Ordinul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ministrului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sănătăţii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al </w:t>
      </w:r>
      <w:proofErr w:type="spellStart"/>
      <w:r>
        <w:rPr>
          <w:rFonts w:eastAsia="Times New Roman" w:cs="Arial"/>
        </w:rPr>
        <w:t>preşedintelui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Casei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Naţionale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Asigurări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Sănătate</w:t>
      </w:r>
      <w:proofErr w:type="spellEnd"/>
      <w:r>
        <w:rPr>
          <w:rFonts w:eastAsia="Times New Roman" w:cs="Arial"/>
        </w:rPr>
        <w:t xml:space="preserve"> nr.</w:t>
      </w:r>
      <w:proofErr w:type="gramEnd"/>
      <w:r>
        <w:rPr>
          <w:rFonts w:eastAsia="Times New Roman" w:cs="Arial"/>
        </w:rPr>
        <w:t xml:space="preserve"> 1.605/875/2014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aprobarea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modului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calcul</w:t>
      </w:r>
      <w:proofErr w:type="spellEnd"/>
      <w:r>
        <w:rPr>
          <w:rFonts w:eastAsia="Times New Roman" w:cs="Arial"/>
        </w:rPr>
        <w:t xml:space="preserve">, a </w:t>
      </w:r>
      <w:proofErr w:type="spellStart"/>
      <w:r>
        <w:rPr>
          <w:rFonts w:eastAsia="Times New Roman" w:cs="Arial"/>
        </w:rPr>
        <w:t>listei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denumirilor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comerciale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a </w:t>
      </w:r>
      <w:proofErr w:type="spellStart"/>
      <w:r>
        <w:rPr>
          <w:rFonts w:eastAsia="Times New Roman" w:cs="Arial"/>
        </w:rPr>
        <w:t>preţurilor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decontare</w:t>
      </w:r>
      <w:proofErr w:type="spellEnd"/>
      <w:r>
        <w:rPr>
          <w:rFonts w:eastAsia="Times New Roman" w:cs="Arial"/>
        </w:rPr>
        <w:t xml:space="preserve"> ale </w:t>
      </w:r>
      <w:proofErr w:type="spellStart"/>
      <w:r>
        <w:rPr>
          <w:rFonts w:eastAsia="Times New Roman" w:cs="Arial"/>
        </w:rPr>
        <w:t>medicamentelor</w:t>
      </w:r>
      <w:proofErr w:type="spellEnd"/>
      <w:r>
        <w:rPr>
          <w:rFonts w:eastAsia="Times New Roman" w:cs="Arial"/>
        </w:rPr>
        <w:t xml:space="preserve"> care se </w:t>
      </w:r>
      <w:proofErr w:type="spellStart"/>
      <w:r>
        <w:rPr>
          <w:rFonts w:eastAsia="Times New Roman" w:cs="Arial"/>
        </w:rPr>
        <w:t>acordă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bolnavilor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în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cadrul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programelor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naţionale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sănătate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a </w:t>
      </w:r>
      <w:proofErr w:type="spellStart"/>
      <w:r>
        <w:rPr>
          <w:rFonts w:eastAsia="Times New Roman" w:cs="Arial"/>
        </w:rPr>
        <w:t>metodologiei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calcul</w:t>
      </w:r>
      <w:proofErr w:type="spellEnd"/>
      <w:r>
        <w:rPr>
          <w:rFonts w:eastAsia="Times New Roman" w:cs="Arial"/>
        </w:rPr>
        <w:t xml:space="preserve"> al </w:t>
      </w:r>
      <w:proofErr w:type="spellStart"/>
      <w:r>
        <w:rPr>
          <w:rFonts w:eastAsia="Times New Roman" w:cs="Arial"/>
        </w:rPr>
        <w:t>acestora</w:t>
      </w:r>
      <w:proofErr w:type="spellEnd"/>
    </w:p>
    <w:p w:rsidR="00FF01B3" w:rsidRDefault="00FF01B3">
      <w:pPr>
        <w:pStyle w:val="Heading3"/>
        <w:spacing w:line="345" w:lineRule="atLeast"/>
        <w:divId w:val="1183398305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vigoare</w:t>
      </w:r>
      <w:proofErr w:type="spellEnd"/>
      <w:r>
        <w:rPr>
          <w:rFonts w:ascii="Arial" w:eastAsia="Times New Roman" w:hAnsi="Arial" w:cs="Arial"/>
          <w:color w:val="333333"/>
        </w:rPr>
        <w:t xml:space="preserve"> de la 09 </w:t>
      </w:r>
      <w:proofErr w:type="spellStart"/>
      <w:r>
        <w:rPr>
          <w:rFonts w:ascii="Arial" w:eastAsia="Times New Roman" w:hAnsi="Arial" w:cs="Arial"/>
          <w:color w:val="333333"/>
        </w:rPr>
        <w:t>martie</w:t>
      </w:r>
      <w:proofErr w:type="spellEnd"/>
      <w:r>
        <w:rPr>
          <w:rFonts w:ascii="Arial" w:eastAsia="Times New Roman" w:hAnsi="Arial" w:cs="Arial"/>
          <w:color w:val="333333"/>
        </w:rPr>
        <w:t xml:space="preserve"> 2026</w:t>
      </w:r>
    </w:p>
    <w:p w:rsidR="00FF01B3" w:rsidRDefault="00FF01B3">
      <w:pPr>
        <w:spacing w:line="345" w:lineRule="atLeast"/>
        <w:jc w:val="both"/>
        <w:divId w:val="1183398305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I nr.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178 din 09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2026.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Formă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aplicabilă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10 </w:t>
      </w:r>
      <w:proofErr w:type="spellStart"/>
      <w:r>
        <w:rPr>
          <w:rStyle w:val="js-calendar1"/>
          <w:rFonts w:ascii="Arial" w:eastAsia="Times New Roman" w:hAnsi="Arial" w:cs="Arial"/>
          <w:sz w:val="21"/>
          <w:szCs w:val="21"/>
        </w:rPr>
        <w:t>martie</w:t>
      </w:r>
      <w:proofErr w:type="spellEnd"/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 2026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Nr. 591/524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Ministerul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Casa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Văzând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591 R din 5.03.2026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Ministerului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DG 1.955 din 27.02.2026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art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58 </w:t>
      </w:r>
      <w:hyperlink r:id="rId4" w:anchor="p-50788285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(4)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anchor="p-507804887" w:tgtFrame="_blank" w:history="1">
        <w:r>
          <w:rPr>
            <w:rStyle w:val="Hyperlink"/>
            <w:rFonts w:ascii="Arial" w:hAnsi="Arial" w:cs="Arial"/>
            <w:sz w:val="21"/>
            <w:szCs w:val="21"/>
          </w:rPr>
          <w:t>(5)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221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(1) </w:t>
      </w:r>
      <w:hyperlink r:id="rId6" w:anchor="p-507804893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k)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95/2006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reforma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domeniul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720/2008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cuprinzând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corespunzătoare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prescripţie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precum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corespunzătoare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291 </w:t>
      </w:r>
      <w:hyperlink r:id="rId8" w:anchor="p-82049667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(2)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95/2006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reforma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domeniul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ale art.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7 </w:t>
      </w:r>
      <w:hyperlink r:id="rId9" w:anchor="p-4174976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(4)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144/2010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funcţionarea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Ministerului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art.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17 </w:t>
      </w:r>
      <w:hyperlink r:id="rId10" w:anchor="p-27622623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(5)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Statutul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1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972/2006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ministrul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preşedintele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emit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ordin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I.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2" w:anchor="p-632787519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2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preşedintelui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3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 1.605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/875/2014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preţurilor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decontare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bolnavilor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nr. 951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4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951 </w:t>
        </w:r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bis</w:t>
        </w:r>
        <w:proofErr w:type="spellEnd"/>
      </w:hyperlink>
      <w:r>
        <w:rPr>
          <w:rFonts w:ascii="Arial" w:hAnsi="Arial" w:cs="Arial"/>
          <w:color w:val="333333"/>
          <w:sz w:val="21"/>
          <w:szCs w:val="21"/>
        </w:rPr>
        <w:t xml:space="preserve"> din 29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decembrie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2014,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face parte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integrantă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II.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începând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luna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2026.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86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"/>
        <w:gridCol w:w="2778"/>
        <w:gridCol w:w="5899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Ministrul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sănătăţii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Alexandru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-Florin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Rogobete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Preşedintele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Casei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Naţionale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Asigurări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Sănătate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Constantin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Achim</w:t>
            </w:r>
            <w:proofErr w:type="spellEnd"/>
          </w:p>
        </w:tc>
      </w:tr>
    </w:tbl>
    <w:p w:rsidR="00FF01B3" w:rsidRDefault="00FF01B3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ANEXĂ 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gram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MODIFICĂRI ŞI COMPLETĂRI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ale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anexei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nr.</w:t>
      </w:r>
      <w:proofErr w:type="gram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2 la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Ordinul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ministrului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sănătăţii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al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preşedintelui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Casei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Naţionale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Asigurări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Sănătate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nr.</w:t>
      </w:r>
      <w:proofErr w:type="gram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1.605/875/2014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privind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aprobarea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modului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calcul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listei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denumirilor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comerciale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preţurilor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decontare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ale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medicamentelor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care se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acordă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bolnavilor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cadrul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programelor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naţionale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sănătate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metodologiei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calcul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al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acestora</w:t>
      </w:r>
      <w:proofErr w:type="spellEnd"/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P1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transmisibile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A)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infecţie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HIV/SIDA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postexpunere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71-76, 78, 120, 315, 317, 547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551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39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31"/>
        <w:gridCol w:w="1001"/>
        <w:gridCol w:w="781"/>
        <w:gridCol w:w="2131"/>
        <w:gridCol w:w="1631"/>
        <w:gridCol w:w="931"/>
        <w:gridCol w:w="580"/>
        <w:gridCol w:w="1241"/>
        <w:gridCol w:w="1051"/>
        <w:gridCol w:w="1491"/>
        <w:gridCol w:w="390"/>
        <w:gridCol w:w="231"/>
        <w:gridCol w:w="881"/>
        <w:gridCol w:w="8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18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W13949003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J01DD04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CEFORT 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ANTIBIOTICE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CUTIE CU 10 FLAC. DIN STICLĂ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INCOLORĂ,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CAPACITATE 17 ML, CU 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16,601000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19,953360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0,684640</w:t>
            </w:r>
          </w:p>
        </w:tc>
      </w:tr>
      <w:tr w:rsidR="00FF01B3">
        <w:trPr>
          <w:trHeight w:val="18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W13949009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J01DD04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CEFORT 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ANTIBIOTICE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CUTIE CU 10 FLAC. DIN STICLĂ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INCOLORĂ,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CAPACITATE 30 ML, CU 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16,601000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19,953360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0,684640</w:t>
            </w:r>
          </w:p>
        </w:tc>
      </w:tr>
      <w:tr w:rsidR="00FF01B3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W53779001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J01DD04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SEFTRION 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E.I.P.I.CO. MED - S.R.L.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X 1 FLAC. DIN STICLĂ INCOLORĂ CU 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PERFZ.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15,600000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19,953360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1,516640</w:t>
            </w:r>
          </w:p>
        </w:tc>
      </w:tr>
      <w:tr w:rsidR="00FF01B3">
        <w:trPr>
          <w:trHeight w:val="18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W13949012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J01DD04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CEFORT 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ANTIBIOTICE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CUTIE CU 10 FLAC. DIN STICLĂ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INCOLORĂ,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CAPACITATE 15 ML, CU 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16,601000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19,953360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0,684640</w:t>
            </w:r>
          </w:p>
        </w:tc>
      </w:tr>
      <w:tr w:rsidR="00FF01B3">
        <w:trPr>
          <w:trHeight w:val="18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W13949006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J01DD04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CEFORT 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ANTIBIOTICE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CUTIE CU 10 FLAC. DIN STICLĂ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INCOLORĂ,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CAPACITATE 10 ML, CU 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16,601000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19,953360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0,684640</w:t>
            </w:r>
          </w:p>
        </w:tc>
      </w:tr>
      <w:tr w:rsidR="00FF01B3">
        <w:trPr>
          <w:trHeight w:val="202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W59397002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J01DD04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CEFTRIAXONAMIP 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MIP PHARMA GMBH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GERMANIA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10 FLAC. DIN STICLĂ INCOLORĂ, CU CAPACITATEA DE 50 ML, CONŢINÂND 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17,136000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19,953360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19,296640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18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W13949004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J01DD04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CEFORT 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ANTIBIOTICE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CUTIE CU 1 FLAC. DIN STICLĂ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INCOLORĂ,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CAPACITATE 10 ML, CU 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17,136000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19,953360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6,886640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W71261001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J01EE01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SULFAMETHOXAZOLUM + TRIMETHOPRIMUM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TRIMESOLPHAR (80 mg + 16 mg)/ml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CONC. PT. SOL. 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(80 mg + 16 mg)/ml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C.N. UNIFARM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10 FIOLE A CÂTE 5 ML CONC. PT. SOL. 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13,717000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17,053000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W65715001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VORICONAZOLE ACCORD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ACCORD HEALTHCARE S.L.U.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1,919158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W64931001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VFEND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PFIZER EUROPE MA EEIG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40,823801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223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W53779002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J01DD04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CEFTRIAXONUM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SEFTRION 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PULB. PT.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E.I.P.I.CO MED - S.R.L.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50 FLAC. DIN STICLĂ INCOLORĂ TIP II, CU CAPACITATEA DE 15 ML, CARE CONŢIN PULB. PENTRU SOL. INJ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14,280000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16,627800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W70112006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VORAMOL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ZENTIVA K.S.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REPUBLICA CEHĂ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TRANSPARENTE PVC/AL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27,948333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32,317666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P1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transmisibile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A)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infecţie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HIV/SIDA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postexpunere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77, 270, 314, 316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318-323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P1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transmisibile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A)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infecţie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HIV/SIDA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postexpunere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551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introduc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două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552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553,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2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95"/>
        <w:gridCol w:w="1001"/>
        <w:gridCol w:w="801"/>
        <w:gridCol w:w="1451"/>
        <w:gridCol w:w="1110"/>
        <w:gridCol w:w="750"/>
        <w:gridCol w:w="431"/>
        <w:gridCol w:w="1731"/>
        <w:gridCol w:w="811"/>
        <w:gridCol w:w="1401"/>
        <w:gridCol w:w="390"/>
        <w:gridCol w:w="231"/>
        <w:gridCol w:w="781"/>
        <w:gridCol w:w="881"/>
        <w:gridCol w:w="845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"552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W71396001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D06BB03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ACICLOVIRUM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ACEVIREX 50 mg/g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CREMĂ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 mg/g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GLAXOSMITHKLINE TRADING SERVICES LIMITED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IRLANDA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1 TUB DIN AL X 5 G CREMĂ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7,380000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10,152000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8,418000</w:t>
            </w:r>
          </w:p>
        </w:tc>
      </w:tr>
      <w:tr w:rsidR="00FF01B3">
        <w:trPr>
          <w:trHeight w:val="24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W71450001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J01CR02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AMOXICILLINUM + ACIDUM CLAVULANICUM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AUGMENTIN 875 mg/125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875 mg/ 125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GLAXOSMITHKLINE TRADING SERVICES LIMITED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IRLANDA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2 BLIST. PVC-PVDC/ AL X 7 COMPR. FILM., FIECARE BLISTER FIIND INTRODUS ÎNTR-O PUNGĂ PROTECTOARE DIN AL LAMINAT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0,960857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1,321714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0,617571"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P1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transmisibile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B)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bolnavilor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tuberculoză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134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P1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transmisibile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B)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bolnavilor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tuberculoză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161 se introduce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nouă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162,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26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95"/>
        <w:gridCol w:w="1001"/>
        <w:gridCol w:w="781"/>
        <w:gridCol w:w="1451"/>
        <w:gridCol w:w="1110"/>
        <w:gridCol w:w="750"/>
        <w:gridCol w:w="331"/>
        <w:gridCol w:w="1731"/>
        <w:gridCol w:w="811"/>
        <w:gridCol w:w="1401"/>
        <w:gridCol w:w="390"/>
        <w:gridCol w:w="231"/>
        <w:gridCol w:w="781"/>
        <w:gridCol w:w="781"/>
        <w:gridCol w:w="845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24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"162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W71450001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J01CR02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AMOXICILLINUM + ACIDUM CLAVULANICUM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AUGMENTIN 875 mg/125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875 mg/ 125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GLAXOSMITHKLINE TRADING SERVICES LIMITED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IRLANDA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2 BLIST. PVC-PVDC/ AL X 7 COMPR. FILM., FIECARE BLISTER FIIND INTRODUS ÎNTR-O PUNGĂ PROTECTOARE DIN AL LAMINAT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0,960857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1,321714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0,617571"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P3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oncologie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212, 214, 217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219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17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95"/>
        <w:gridCol w:w="1001"/>
        <w:gridCol w:w="771"/>
        <w:gridCol w:w="1231"/>
        <w:gridCol w:w="1021"/>
        <w:gridCol w:w="751"/>
        <w:gridCol w:w="332"/>
        <w:gridCol w:w="1044"/>
        <w:gridCol w:w="1171"/>
        <w:gridCol w:w="810"/>
        <w:gridCol w:w="281"/>
        <w:gridCol w:w="331"/>
        <w:gridCol w:w="881"/>
        <w:gridCol w:w="881"/>
        <w:gridCol w:w="845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W59486006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L01EA01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IMATINIBUM**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IMAKREBIN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ALVOGEN IPCO S.A.R.L.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LUXEMBURG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PVC-PE- PVDC/AL X 120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5,413600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6,730166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W67617006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L01EA01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IMATINIBUM**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IMAKREBIN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LABORMED PHARMA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PVC-PE- PVDC/AL X 120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5,413600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6,730166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W67616003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L01EA01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IMATINIBUM**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IMAKREBIN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LABORMED PHARMA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PVC-PE- PVDC/AL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18,115600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21,661999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9,540334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W59487003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L01EA01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IMATINIBUM**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IMAKREBIN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ALVOGEN IPCO S.A.R.L.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LUXEMBURG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PVC-PE- PVDC/AL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18,115600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21,661999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9,540334"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P3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oncologie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650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680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P3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oncologie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803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introduc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804-806,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26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95"/>
        <w:gridCol w:w="1001"/>
        <w:gridCol w:w="821"/>
        <w:gridCol w:w="1611"/>
        <w:gridCol w:w="1211"/>
        <w:gridCol w:w="610"/>
        <w:gridCol w:w="520"/>
        <w:gridCol w:w="1100"/>
        <w:gridCol w:w="871"/>
        <w:gridCol w:w="1191"/>
        <w:gridCol w:w="390"/>
        <w:gridCol w:w="231"/>
        <w:gridCol w:w="981"/>
        <w:gridCol w:w="9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W59766002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L01XB01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PROCARBAZINUM (4)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NATULAN 50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CAPS.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C.N. UNIFARM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5 BLIST X 10 CAPS.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21,697600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24,861400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</w:t>
            </w:r>
          </w:p>
        </w:tc>
      </w:tr>
      <w:tr w:rsidR="00FF01B3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W71498001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M05BA08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ACIDUM ZOLEDRONICUM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ACID ZOLEDRONIC ROMPHARM 4 mg/5 ml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CONC. PT. SOL. 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 mg/5 ml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ROMPHARM COMPANY - S.R.L.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1 FLAC. DE STICLĂ INCOLORĂ X 5 ML CONC. PT. SOL. 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105,528000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135,876000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60,364000</w:t>
            </w:r>
          </w:p>
        </w:tc>
      </w:tr>
      <w:tr w:rsidR="00FF01B3">
        <w:trPr>
          <w:trHeight w:val="183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W71232001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M05BX04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DENOSUMABUM**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YAXWER 120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SOL. INJ.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 mg/ml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GEDEON RICHTER PLC.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UNGARIA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1 FLAC. DIN STICLĂ CE CONŢINE 120 MG DENOSUMAB ÎN 1,7 ML SOL. INJ.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747,220000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868,260000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P5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diabet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zaharat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medicamentos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bolnavilor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diabet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zaharat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11, 27, 139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151-153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P6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diagnostic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rare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sepsis sever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P6.3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Hipertensiune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pulmonară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19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19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295"/>
        <w:gridCol w:w="1001"/>
        <w:gridCol w:w="801"/>
        <w:gridCol w:w="1621"/>
        <w:gridCol w:w="851"/>
        <w:gridCol w:w="750"/>
        <w:gridCol w:w="281"/>
        <w:gridCol w:w="1471"/>
        <w:gridCol w:w="681"/>
        <w:gridCol w:w="801"/>
        <w:gridCol w:w="281"/>
        <w:gridCol w:w="231"/>
        <w:gridCol w:w="981"/>
        <w:gridCol w:w="981"/>
        <w:gridCol w:w="945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24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W65300001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C02KX04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MACITENTANUM**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OPSUMIT 10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JANSSEN-CILAG INTERNATIONAL NV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ALBE DIN FOLIE OPACĂ PVC-PE-PVDC/AL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203,478400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229,673599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63,478401"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P6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diagnostic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rare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sepsis sever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P6.3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Hipertensiune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pulmonară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27 se introduce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nouă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28,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26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295"/>
        <w:gridCol w:w="1001"/>
        <w:gridCol w:w="801"/>
        <w:gridCol w:w="1621"/>
        <w:gridCol w:w="1200"/>
        <w:gridCol w:w="750"/>
        <w:gridCol w:w="281"/>
        <w:gridCol w:w="1811"/>
        <w:gridCol w:w="871"/>
        <w:gridCol w:w="801"/>
        <w:gridCol w:w="281"/>
        <w:gridCol w:w="231"/>
        <w:gridCol w:w="981"/>
        <w:gridCol w:w="981"/>
        <w:gridCol w:w="845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16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W71352001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C02KX04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MACITENTANUM**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MACITENTAN TEVA 10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TEVA PHARMACEUTICALS - S.R.L.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PVC-PVDC/AL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169,565333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191,394666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P9.1 "Transplant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medular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69, 105, 107, 109-114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290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13.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P9.1 "Transplant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medular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106, 108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339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33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95"/>
        <w:gridCol w:w="1001"/>
        <w:gridCol w:w="771"/>
        <w:gridCol w:w="1761"/>
        <w:gridCol w:w="1461"/>
        <w:gridCol w:w="750"/>
        <w:gridCol w:w="331"/>
        <w:gridCol w:w="1241"/>
        <w:gridCol w:w="1051"/>
        <w:gridCol w:w="1491"/>
        <w:gridCol w:w="390"/>
        <w:gridCol w:w="231"/>
        <w:gridCol w:w="881"/>
        <w:gridCol w:w="8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W65715001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VORICONAZOLE ACCORD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ACCORD HEALTHCARE S.L.U.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1,919158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W64931001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VFEND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PFIZER EUROPE MA EEIG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40,823801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W70112006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VORAMOL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ZENTIVA K.S.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REPUBLICA CEHĂ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CUTIE CU BLIST. TRANSPARENTE PVC/AL X 30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27,948333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32,317666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14.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P9.2 "Transplant de cord",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32, 68, 70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72-77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15.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P9.2 "Transplant de cord",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69, 71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115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32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31"/>
        <w:gridCol w:w="1001"/>
        <w:gridCol w:w="771"/>
        <w:gridCol w:w="1761"/>
        <w:gridCol w:w="1461"/>
        <w:gridCol w:w="750"/>
        <w:gridCol w:w="331"/>
        <w:gridCol w:w="1241"/>
        <w:gridCol w:w="1051"/>
        <w:gridCol w:w="1491"/>
        <w:gridCol w:w="390"/>
        <w:gridCol w:w="231"/>
        <w:gridCol w:w="881"/>
        <w:gridCol w:w="8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W65715001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VORICONAZOLE ACCORD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ACCORD HEALTHCARE S.L.U.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1,919158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W64931001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VFEND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PFIZER EUROPE MA EEIG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40,823801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W70112006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VORAMOL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ZENTIVA K.S.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REPUBLICA CEHĂ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TRANSPARENTE PVC/AL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27,948333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32,317666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16.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P9.3 "Transplant hepatic",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59, 65, 67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69-74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17.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P9.3 "Transplant hepatic",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66, 68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139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32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31"/>
        <w:gridCol w:w="1001"/>
        <w:gridCol w:w="771"/>
        <w:gridCol w:w="1761"/>
        <w:gridCol w:w="1461"/>
        <w:gridCol w:w="750"/>
        <w:gridCol w:w="331"/>
        <w:gridCol w:w="1241"/>
        <w:gridCol w:w="1051"/>
        <w:gridCol w:w="1491"/>
        <w:gridCol w:w="390"/>
        <w:gridCol w:w="231"/>
        <w:gridCol w:w="881"/>
        <w:gridCol w:w="8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W65715001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VORICONAZOLE ACCORD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ACCORD HEALTHCARE S.L.U.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1,919158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W64931001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VFEND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PFIZER EUROPE MA EEIG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40,823801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W70112006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VORAMOL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ZENTIVA K.S.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REPUBLICA CEHĂ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TRANSPARENTE PVC/AL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27,948333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32,317666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18.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P9.4 "Transplant renal, transplant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combinat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rinichi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pancreas",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68, 110, 112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114-119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19.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P9.4 "Transplant renal, transplant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combinat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rinichi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pancreas",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111, 113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247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33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95"/>
        <w:gridCol w:w="1001"/>
        <w:gridCol w:w="771"/>
        <w:gridCol w:w="1761"/>
        <w:gridCol w:w="1461"/>
        <w:gridCol w:w="750"/>
        <w:gridCol w:w="331"/>
        <w:gridCol w:w="1241"/>
        <w:gridCol w:w="1051"/>
        <w:gridCol w:w="1491"/>
        <w:gridCol w:w="390"/>
        <w:gridCol w:w="231"/>
        <w:gridCol w:w="881"/>
        <w:gridCol w:w="8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W65715001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VORICONAZOLE ACCORD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ACCORD HEALTHCARE S.L.U.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1,919158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W64931001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VFEND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PFIZER EUROPE MA EEIG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40,823801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W70112006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VORAMOL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ZENTIVA K.S.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REPUBLICA CEHĂ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TRANSPARENTE PVC/AL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27,948333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32,317666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20.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P9.5 "Transplant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pancreatice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8, 14, 16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18-23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21.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P9.5 "Transplant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pancreatice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15, 17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34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32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295"/>
        <w:gridCol w:w="1001"/>
        <w:gridCol w:w="771"/>
        <w:gridCol w:w="1761"/>
        <w:gridCol w:w="1461"/>
        <w:gridCol w:w="750"/>
        <w:gridCol w:w="331"/>
        <w:gridCol w:w="1241"/>
        <w:gridCol w:w="1051"/>
        <w:gridCol w:w="1491"/>
        <w:gridCol w:w="390"/>
        <w:gridCol w:w="231"/>
        <w:gridCol w:w="881"/>
        <w:gridCol w:w="8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W65715001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VORICONAZOLE ACCORD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ACCORD HEALTHCARE S.L.U.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1,919158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W64931001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VFEND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PFIZER EUROPE MA EEIG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40,823801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W70112006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VORAMOL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ZENTIVA K.S.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REPUBLICA CEHĂ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TRANSPARENTE PVC/AL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27,948333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32,317666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22.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P9.6 "Transplant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pulmonar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42, 78, 80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82-87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23.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P9.6 "Transplant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pulmonar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79, 81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152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32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31"/>
        <w:gridCol w:w="1001"/>
        <w:gridCol w:w="771"/>
        <w:gridCol w:w="1761"/>
        <w:gridCol w:w="1461"/>
        <w:gridCol w:w="750"/>
        <w:gridCol w:w="331"/>
        <w:gridCol w:w="1241"/>
        <w:gridCol w:w="1051"/>
        <w:gridCol w:w="1491"/>
        <w:gridCol w:w="390"/>
        <w:gridCol w:w="231"/>
        <w:gridCol w:w="881"/>
        <w:gridCol w:w="8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W65715001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VORICONAZOLE ACCORD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ACCORD HEALTHCARE S.L.U.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1,919158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W64931001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VFEND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PFIZER EUROPE MA EEIG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40,823801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W70112006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VORAMOL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ZENTIVA K.S.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REPUBLICA CEHĂ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TRANSPARENTE PVC/AL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27,948333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32,317666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24.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P9.7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posttransplant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ambulatoriu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pacienţilor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transplantaţi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64, 66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68-73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F01B3" w:rsidRDefault="00FF01B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25.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transplant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ţesuturi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origine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umană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P9.7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posttransplant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ambulatoriu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pacienţilor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transplantaţi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31, 65, 67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141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F01B3" w:rsidRDefault="00FF01B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F01B3" w:rsidRDefault="00FF01B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3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31"/>
        <w:gridCol w:w="1001"/>
        <w:gridCol w:w="771"/>
        <w:gridCol w:w="2131"/>
        <w:gridCol w:w="1461"/>
        <w:gridCol w:w="750"/>
        <w:gridCol w:w="580"/>
        <w:gridCol w:w="1241"/>
        <w:gridCol w:w="1051"/>
        <w:gridCol w:w="1491"/>
        <w:gridCol w:w="390"/>
        <w:gridCol w:w="231"/>
        <w:gridCol w:w="881"/>
        <w:gridCol w:w="881"/>
        <w:gridCol w:w="881"/>
      </w:tblGrid>
      <w:tr w:rsidR="00FF01B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F01B3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W71261001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J01EE01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SULFAMETHOXAZOLUM + TRIMETHOPRIMUM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TRIMESOLPHAR (80 mg + 16 mg)/ml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CONC. PT. SOL. 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(80 mg + 16 mg)/ml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CN UNIFARM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10 FIOLE A CÂTE 5 ML CONC. PT. SOL. PERF.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13,717000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17,053000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W65715001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VORICONAZOLE ACCORD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ACCORD HEALTHCARE S.L.U.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SPANIA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1,919158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W64931001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VFEND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PFIZER EUROPE MA EEIG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BELGIA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PVC/AL X 28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33,538000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38,781199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40,823801</w:t>
            </w:r>
          </w:p>
        </w:tc>
      </w:tr>
      <w:tr w:rsidR="00FF01B3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</w:tr>
      <w:tr w:rsidR="00FF01B3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01B3" w:rsidRDefault="00FF01B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W70112006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J02AC03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VORICONAZOLUM**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VORAMOL 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200 mg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ZENTIVA K.S.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REPUBLICA CEHĂ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CUTIE CU BLIST. TRANSPARENTE PVC/AL X 30 COMPR. FILM.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27,948333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32,317666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FF01B3" w:rsidRDefault="00FF01B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0,000000"</w:t>
            </w:r>
          </w:p>
        </w:tc>
      </w:tr>
    </w:tbl>
    <w:p w:rsidR="00FF01B3" w:rsidRDefault="00FF01B3"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pict/>
      </w:r>
    </w:p>
    <w:sectPr w:rsidR="00FF01B3" w:rsidSect="00FF01B3">
      <w:pgSz w:w="31680" w:h="2448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01B3"/>
    <w:rsid w:val="008616FA"/>
    <w:rsid w:val="00FF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1B3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F01B3"/>
    <w:p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F01B3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F01B3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1B3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01B3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01B3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01B3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01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1B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1B3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F01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isplayfirstversion">
    <w:name w:val="display_first_version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">
    <w:name w:val="document-note"/>
    <w:basedOn w:val="Normal"/>
    <w:rsid w:val="00FF01B3"/>
    <w:pPr>
      <w:pBdr>
        <w:top w:val="single" w:sz="12" w:space="4" w:color="FFEE58"/>
        <w:left w:val="single" w:sz="12" w:space="8" w:color="FFEE58"/>
        <w:bottom w:val="single" w:sz="12" w:space="4" w:color="FFEE58"/>
        <w:right w:val="single" w:sz="12" w:space="8" w:color="FFEE58"/>
      </w:pBdr>
      <w:shd w:val="clear" w:color="auto" w:fill="FFFFFF"/>
      <w:spacing w:before="75" w:after="75" w:line="240" w:lineRule="auto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notablewrapper">
    <w:name w:val="notablewrapper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ateuntil">
    <w:name w:val="date_until"/>
    <w:basedOn w:val="Normal"/>
    <w:rsid w:val="00FF01B3"/>
    <w:pPr>
      <w:spacing w:after="450" w:line="240" w:lineRule="auto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jumptoart">
    <w:name w:val="jump_to_art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quoted">
    <w:name w:val="quoted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2">
    <w:name w:val="s_2"/>
    <w:basedOn w:val="Normal"/>
    <w:rsid w:val="00FF01B3"/>
    <w:pPr>
      <w:spacing w:after="3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FF01B3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FF01B3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document-notetitle">
    <w:name w:val="document-note_title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sapplied">
    <w:name w:val="is_applied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s-calendar">
    <w:name w:val="js-calendar"/>
    <w:basedOn w:val="Normal"/>
    <w:rsid w:val="00FF01B3"/>
    <w:pPr>
      <w:spacing w:before="45" w:after="45" w:line="240" w:lineRule="auto"/>
      <w:ind w:left="45" w:right="45"/>
      <w:jc w:val="both"/>
    </w:pPr>
    <w:rPr>
      <w:rFonts w:ascii="Times New Roman" w:hAnsi="Times New Roman" w:cs="Times New Roman"/>
      <w:b/>
      <w:bCs/>
      <w:color w:val="008000"/>
      <w:sz w:val="24"/>
      <w:szCs w:val="24"/>
    </w:rPr>
  </w:style>
  <w:style w:type="paragraph" w:customStyle="1" w:styleId="addtotree">
    <w:name w:val="addtotree"/>
    <w:basedOn w:val="Normal"/>
    <w:rsid w:val="00FF01B3"/>
    <w:pPr>
      <w:spacing w:after="75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dffooter">
    <w:name w:val="pdf_footer"/>
    <w:basedOn w:val="Normal"/>
    <w:rsid w:val="00FF01B3"/>
    <w:pPr>
      <w:spacing w:after="0" w:line="240" w:lineRule="auto"/>
      <w:jc w:val="both"/>
    </w:pPr>
    <w:rPr>
      <w:rFonts w:ascii="Arial" w:hAnsi="Arial" w:cs="Arial"/>
      <w:sz w:val="14"/>
      <w:szCs w:val="14"/>
    </w:rPr>
  </w:style>
  <w:style w:type="paragraph" w:customStyle="1" w:styleId="t45">
    <w:name w:val="t_45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46">
    <w:name w:val="t_46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mallgray">
    <w:name w:val="small_gray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haredlist">
    <w:name w:val="shared_list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aitapprove">
    <w:name w:val="wait_approve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rate">
    <w:name w:val="document-note_rate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s-nomenclature-expand">
    <w:name w:val="js-nomenclature-expand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pen">
    <w:name w:val="open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tnclose">
    <w:name w:val="btn_close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menclature-content">
    <w:name w:val="nomenclature-content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">
    <w:name w:val="cmt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g">
    <w:name w:val="cmg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mallgray1">
    <w:name w:val="small_gray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color w:val="999999"/>
      <w:sz w:val="17"/>
      <w:szCs w:val="17"/>
    </w:rPr>
  </w:style>
  <w:style w:type="paragraph" w:customStyle="1" w:styleId="sharedlist1">
    <w:name w:val="shared_list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waitapprove1">
    <w:name w:val="wait_approve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ument-noterate1">
    <w:name w:val="document-note_rate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js-nomenclature-expand1">
    <w:name w:val="js-nomenclature-expand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pen1">
    <w:name w:val="open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cument-notetitle1">
    <w:name w:val="document-note_title1"/>
    <w:basedOn w:val="Normal"/>
    <w:rsid w:val="00FF01B3"/>
    <w:pPr>
      <w:spacing w:after="0" w:line="240" w:lineRule="auto"/>
      <w:ind w:left="30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close1">
    <w:name w:val="btn_close1"/>
    <w:basedOn w:val="Normal"/>
    <w:rsid w:val="00FF01B3"/>
    <w:pPr>
      <w:spacing w:after="0" w:line="240" w:lineRule="auto"/>
      <w:ind w:hanging="18913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nomenclature-content1">
    <w:name w:val="nomenclature-content1"/>
    <w:basedOn w:val="Normal"/>
    <w:rsid w:val="00FF01B3"/>
    <w:pPr>
      <w:pBdr>
        <w:top w:val="single" w:sz="18" w:space="8" w:color="FFA64D"/>
        <w:left w:val="single" w:sz="18" w:space="8" w:color="FFA64D"/>
        <w:bottom w:val="single" w:sz="18" w:space="8" w:color="FFA64D"/>
        <w:right w:val="single" w:sz="18" w:space="8" w:color="FFA64D"/>
      </w:pBdr>
      <w:spacing w:before="150" w:after="0" w:line="240" w:lineRule="auto"/>
      <w:jc w:val="both"/>
    </w:pPr>
    <w:rPr>
      <w:rFonts w:ascii="Times New Roman" w:hAnsi="Times New Roman" w:cs="Times New Roman"/>
      <w:vanish/>
      <w:sz w:val="24"/>
      <w:szCs w:val="24"/>
    </w:rPr>
  </w:style>
  <w:style w:type="paragraph" w:customStyle="1" w:styleId="t451">
    <w:name w:val="t_451"/>
    <w:basedOn w:val="Normal"/>
    <w:rsid w:val="00FF01B3"/>
    <w:pPr>
      <w:spacing w:before="150"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461">
    <w:name w:val="t_46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t1">
    <w:name w:val="cmt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paragraph" w:customStyle="1" w:styleId="cmg1">
    <w:name w:val="cmg1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color w:val="339966"/>
      <w:sz w:val="20"/>
      <w:szCs w:val="20"/>
    </w:rPr>
  </w:style>
  <w:style w:type="paragraph" w:customStyle="1" w:styleId="cmg2">
    <w:name w:val="cmg2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color w:val="339966"/>
      <w:sz w:val="24"/>
      <w:szCs w:val="24"/>
    </w:rPr>
  </w:style>
  <w:style w:type="character" w:customStyle="1" w:styleId="js-ineffectstring">
    <w:name w:val="js-ineffectstring"/>
    <w:basedOn w:val="DefaultParagraphFont"/>
    <w:rsid w:val="00FF01B3"/>
  </w:style>
  <w:style w:type="character" w:customStyle="1" w:styleId="js-calendar1">
    <w:name w:val="js-calendar1"/>
    <w:basedOn w:val="DefaultParagraphFont"/>
    <w:rsid w:val="00FF01B3"/>
    <w:rPr>
      <w:b/>
      <w:bCs/>
      <w:color w:val="008000"/>
    </w:rPr>
  </w:style>
  <w:style w:type="paragraph" w:customStyle="1" w:styleId="al">
    <w:name w:val="a_l"/>
    <w:basedOn w:val="Normal"/>
    <w:rsid w:val="00FF01B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98305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42tmnjsgi/legea-nr-95-2006-privind-reforma-in-domeniul-sanatatii?pid=82049667&amp;d=2026-03-10" TargetMode="External"/><Relationship Id="rId13" Type="http://schemas.openxmlformats.org/officeDocument/2006/relationships/hyperlink" Target="http://lege5.ro/App/Document/gqydsnzyga/ordinul-nr-1605-875-2014-privind-aprobarea-modului-de-calcul-a-listei-denumirilor-comerciale-si-a-preturilor-de-decontare-ale-medicamentelor-care-se-acorda-bolnavilor-in-cadrul-programelor-nationale-d?d=2026-03-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m3tgnjqg42a/hotararea-nr-720-2008-pentru-aprobarea-listei-cuprinzand-denumirile-comune-internationale-corespunzatoare-medicamentelor-de-care-beneficiaza-asiguratii-cu-sau-fara-contributie-personala-pe-baza-de-pre?d=2026-03-10" TargetMode="External"/><Relationship Id="rId12" Type="http://schemas.openxmlformats.org/officeDocument/2006/relationships/hyperlink" Target="http://lege5.ro/App/Document/gqydsojtha/anexele-nr-1-4-la-ordinul-ministrului-sanatatii-si-al-presedintelui-casei-nationale-de-asigurari-de-sanatate-nr-1605-875-2014-privind-aprobarea-modului-de-calcul-a-listei-denumirilor-comerciale-si-a-p?pid=632787519&amp;d=2026-03-1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42tmnjsgi/legea-nr-95-2006-privind-reforma-in-domeniul-sanatatii?pid=507804893&amp;d=2026-03-10" TargetMode="External"/><Relationship Id="rId11" Type="http://schemas.openxmlformats.org/officeDocument/2006/relationships/hyperlink" Target="http://lege5.ro/App/Document/he4tsmrr/hotararea-nr-972-2006-pentru-aprobarea-statutului-casei-nationale-de-asigurari-de-sanatate?d=2026-03-10" TargetMode="External"/><Relationship Id="rId5" Type="http://schemas.openxmlformats.org/officeDocument/2006/relationships/hyperlink" Target="http://lege5.ro/App/Document/g42tmnjsgi/legea-nr-95-2006-privind-reforma-in-domeniul-sanatatii?pid=507804887&amp;d=2026-03-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e5.ro/App/Document/geydemjsga/statutul-casei-nationale-de-asigurari-de-sanatate-din-26072006?pid=27622623&amp;d=2026-03-10" TargetMode="External"/><Relationship Id="rId4" Type="http://schemas.openxmlformats.org/officeDocument/2006/relationships/hyperlink" Target="http://lege5.ro/App/Document/g42tmnjsgi/legea-nr-95-2006-privind-reforma-in-domeniul-sanatatii?pid=507882858&amp;d=2026-03-10" TargetMode="External"/><Relationship Id="rId9" Type="http://schemas.openxmlformats.org/officeDocument/2006/relationships/hyperlink" Target="http://lege5.ro/App/Document/geztenbwge/hotararea-nr-144-2010-privind-organizarea-si-functionarea-ministerului-sanatatii?pid=41749765&amp;d=2026-03-10" TargetMode="External"/><Relationship Id="rId14" Type="http://schemas.openxmlformats.org/officeDocument/2006/relationships/hyperlink" Target="http://lege5.ro/App/Document/gqydsojtha/anexele-nr-1-4-la-ordinul-ministrului-sanatatii-si-al-presedintelui-casei-nationale-de-asigurari-de-sanatate-nr-1605-875-2014-privind-aprobarea-modului-de-calcul-a-listei-denumirilor-comerciale-si-a-p?d=2026-03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3135</Words>
  <Characters>17873</Characters>
  <Application>Microsoft Office Word</Application>
  <DocSecurity>0</DocSecurity>
  <Lines>148</Lines>
  <Paragraphs>41</Paragraphs>
  <ScaleCrop>false</ScaleCrop>
  <Company/>
  <LinksUpToDate>false</LinksUpToDate>
  <CharactersWithSpaces>20967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2026-03-10T09:25:00Z</dcterms:created>
  <dcterms:modified xsi:type="dcterms:W3CDTF">2026-03-10T09:25:00Z</dcterms:modified>
</cp:coreProperties>
</file>