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5E" w:rsidRDefault="00C7275E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 xml:space="preserve">10.10.2025 MOOZ SERVICES SRL PROCESE </w:t>
      </w: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1.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5054/118/2025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09.10.2025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09.10.2025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593"/>
              <w:gridCol w:w="376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MEVA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2.</w:t>
      </w:r>
    </w:p>
    <w:p w:rsidR="00F31B0A" w:rsidRDefault="00F31B0A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21584/303/2025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09.10.2025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09.10.2025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......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0" w:name="Părţi"/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0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593"/>
              <w:gridCol w:w="376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MEVA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3.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31269/212/2025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08.10.2025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08.10.2025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actiune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in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raspundere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contractuala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396"/>
              <w:gridCol w:w="2964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 GROUP EXCLUSIV ENB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Reclamant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Pârât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4.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3015/118/2025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23.06.2025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18.09.2025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în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somaţie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667"/>
              <w:gridCol w:w="1693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UNITATEA ADMINISTRATIVA TERITORIALA MUNICIPIUL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1" w:name="Şedinţe"/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bookmarkEnd w:id="1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4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19.11.2025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F7A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5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17.09.2025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F7A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Potrivit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Hotărârii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2 din data de 26 august 2025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Adunării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generale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începând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data de 27 august 2025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suspendă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soluţionarea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următoarele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excep?ii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materia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contenciosului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administrativ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?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fiscal,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cauzele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obiect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suspendarea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executării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actelor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administrative.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Având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vedere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obiectul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prezentului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acordă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nou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19.11.2025,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09:00,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citează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men</w:t>
                  </w:r>
                  <w:proofErr w:type="gram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?in</w:t>
                  </w:r>
                  <w:proofErr w:type="spellEnd"/>
                  <w:proofErr w:type="gram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măsurile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dispuse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data de 17.09.2025.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Rezolutie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17.09.2025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6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25.06.2025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12:00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CIPc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către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d-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Toma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Ştefan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Alexandru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3015/118/2025 al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Fără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25.06.2025,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25.06.2025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5.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390/1285/2025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11.06.2025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02.10.2025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Comercial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acţiune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în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390/1285/2025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în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anulare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dep.de MOOZ SERVICES SRL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în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dos.3667/117/2024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Apel</w:t>
                        </w:r>
                        <w:proofErr w:type="spellEnd"/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33"/>
              <w:gridCol w:w="322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SCHREDER ROMÂNIA S.R.L.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Intimat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Apelant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7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13.10.2025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10:00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A1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390/1285/2025/a1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19.06.2025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Comercial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abţinere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33"/>
              <w:gridCol w:w="322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SCHREDER ROMÂNIA S.R.L.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Intimat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Apelant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8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19.06.2025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15:00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A1 CC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abţinere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către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doamna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 I G,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face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obiectul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nr.390/1285/2025 al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Specializat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Cluj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întregirea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un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planificarea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permanenţă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conform art. 109, al.5 </w:t>
                  </w:r>
                  <w:proofErr w:type="gram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din</w:t>
                  </w:r>
                  <w:proofErr w:type="gram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Hot. CSM nr. 3243/2022.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Fără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publică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19.06.2025.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658/2025  19.06.2025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6.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8931/212/2025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31.03.2025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961"/>
              <w:gridCol w:w="2399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ANTREPRIZA CONSTRUCTII EDILITARE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9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20.06.2025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Camânări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/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incidente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11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emitere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ordonanţe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***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***,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inadmisibilă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drept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a formula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10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Judecătoria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20.06.2025.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8139/2025  20.06.2025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7.</w:t>
      </w:r>
    </w:p>
    <w:p w:rsidR="00F31B0A" w:rsidRDefault="00F31B0A">
      <w:pPr>
        <w:rPr>
          <w:lang w:val="ro-RO"/>
        </w:rPr>
      </w:pPr>
      <w:r w:rsidRPr="00F31B0A">
        <w:rPr>
          <w:highlight w:val="green"/>
          <w:lang w:val="ro-RO"/>
        </w:rPr>
        <w:t>ALTA CERERE DESCHIDERE PROCEDURA RESPINSA</w:t>
      </w:r>
      <w:r>
        <w:rPr>
          <w:lang w:val="ro-RO"/>
        </w:rPr>
        <w:t xml:space="preserve">  DAR CREDITOR ANTEPRIZA CONSTRUCTII EDILITARE SRL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1443/118/2025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21.03.2025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lastRenderedPageBreak/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992"/>
              <w:gridCol w:w="4368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ANTREPRIZA CONSTRUCTII EDILITARE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FARCAŞ CRISTINEL-VIOREL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asociat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unic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/administrator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0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19.05.2025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F.1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Legea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85/2006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privind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insolventa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Dosar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1443/118/2025 Hot. 19.05.2025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nefondată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deschidere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ANTREPRIZA CONSTRUCŢII EDILITARE SRL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MOOZ SERVICES SRL,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Executorie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7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calea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atac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publică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19.05.2025.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536/2025  19.05.2025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1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05.05.2025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08:30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F.1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cauza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T 19.05.2025 F1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05.05.2025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8.</w:t>
      </w:r>
    </w:p>
    <w:p w:rsidR="00F31B0A" w:rsidRDefault="00F31B0A">
      <w:pPr>
        <w:rPr>
          <w:lang w:val="ro-RO"/>
        </w:rPr>
      </w:pPr>
      <w:r w:rsidRPr="00F31B0A">
        <w:rPr>
          <w:highlight w:val="green"/>
          <w:lang w:val="ro-RO"/>
        </w:rPr>
        <w:t>PROCEDURA INSOLVENTEI MEVA CONCEPT SRL CERE MOOZ SERVICE S SRL</w:t>
      </w:r>
      <w:r>
        <w:rPr>
          <w:lang w:val="ro-RO"/>
        </w:rPr>
        <w:t xml:space="preserve"> </w:t>
      </w:r>
    </w:p>
    <w:p w:rsidR="00F31B0A" w:rsidRDefault="00F31B0A">
      <w:pPr>
        <w:rPr>
          <w:lang w:val="ro-RO"/>
        </w:rPr>
      </w:pPr>
      <w:r w:rsidRPr="00F31B0A">
        <w:rPr>
          <w:highlight w:val="yellow"/>
          <w:lang w:val="ro-RO"/>
        </w:rPr>
        <w:t>FOND</w:t>
      </w:r>
      <w:r>
        <w:rPr>
          <w:lang w:val="ro-RO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8210/118/2024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04.11.2024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06.03.2025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593"/>
              <w:gridCol w:w="376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MEVA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2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10.02.2025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F.12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Respins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urmare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</w:t>
                  </w:r>
                  <w:proofErr w:type="gram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contestaţiei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contestaţia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deschidere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insolvenţei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neîntemeiată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7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conform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Codului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procedură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Sec</w:t>
                  </w:r>
                  <w:proofErr w:type="gram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?ia</w:t>
                  </w:r>
                  <w:proofErr w:type="spellEnd"/>
                  <w:proofErr w:type="gram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II-a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10.02.2025,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către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115/2025  10.02.2025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 w:rsidRPr="00F31B0A">
        <w:rPr>
          <w:highlight w:val="yellow"/>
          <w:lang w:val="ro-RO"/>
        </w:rPr>
        <w:t>APEL</w:t>
      </w:r>
      <w:r>
        <w:rPr>
          <w:lang w:val="ro-RO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8210/118/2024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06.03.2025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16.05.2025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,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insolvenţă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societăţi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insolvenţei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–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societăţi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răspundere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limitată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DESCHIDERE PROCEDURĂ - LEGEA 85/2014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Apel</w:t>
                        </w:r>
                        <w:proofErr w:type="spellEnd"/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262"/>
              <w:gridCol w:w="4098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MEVA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Apelant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Intimat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3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14.05.2025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C1AI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Nefondat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Decizia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nr.90/I/14.05.2025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apelul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nefondat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Definitivă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intermediul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14.05.2025.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Red.dec.jud.A.E.M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. C.M.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90/2025  14.05.2025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4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07.05.2025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C1AI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din data de 07.05.2025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data de 14.05.2025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va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face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intermediul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.</w:t>
                  </w:r>
                  <w:proofErr w:type="gram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şedinţă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publică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07.05.2025.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Gref.C.Matără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Încheiere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Amânare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iniţială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pronunţării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  07.05.2025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9.</w:t>
      </w:r>
    </w:p>
    <w:p w:rsidR="00F31B0A" w:rsidRDefault="00F31B0A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869/118/2025*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03.03.2025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03.06.2025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Contencios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administrativ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fiscal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lastRenderedPageBreak/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64"/>
              <w:gridCol w:w="3396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MUNICIPIUL CONSTANTA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MEVA CONCEPT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Intervenient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5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26.05.2025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09:00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CA3A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Respinge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chemare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Services S.R.L.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Municipiul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neîntemeiată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drept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10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Constanţa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26.05.2025.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681/2025  26.05.2025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</w:p>
    <w:p w:rsidR="00F31B0A" w:rsidRDefault="00F31B0A">
      <w:pPr>
        <w:rPr>
          <w:lang w:val="ro-RO"/>
        </w:rPr>
      </w:pPr>
      <w:r>
        <w:rPr>
          <w:lang w:val="ro-RO"/>
        </w:rPr>
        <w:t>10.</w:t>
      </w:r>
    </w:p>
    <w:p w:rsidR="00F31B0A" w:rsidRDefault="00F31B0A">
      <w:pPr>
        <w:rPr>
          <w:lang w:val="ro-RO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3667/117/2024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01.10.2024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22.05.2025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Comercial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Litigii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cu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profesioniştii</w:t>
                        </w:r>
                        <w:proofErr w:type="spellEnd"/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ordonanţă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de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plată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- OUG 119/2007 / art.1014 CPC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ş.u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F31B0A" w:rsidRPr="00F31B0A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F31B0A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31B0A" w:rsidRPr="00F31B0A" w:rsidRDefault="00F31B0A" w:rsidP="00F31B0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F31B0A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33"/>
              <w:gridCol w:w="3227"/>
            </w:tblGrid>
            <w:tr w:rsidR="00F31B0A" w:rsidRPr="00F31B0A" w:rsidTr="00F31B0A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F31B0A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lastRenderedPageBreak/>
                    <w:t>SCHREDER ROMÂNIA S.R.L.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MOOZ SERVICES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vAlign w:val="center"/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Pr="00F31B0A" w:rsidRDefault="00F31B0A" w:rsidP="00F31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B0A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31B0A" w:rsidRPr="00F31B0A" w:rsidRDefault="00F31B0A" w:rsidP="00F31B0A">
      <w:pPr>
        <w:pBdr>
          <w:bottom w:val="single" w:sz="6" w:space="3" w:color="2D2D2D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F31B0A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31B0A" w:rsidRPr="00F31B0A" w:rsidTr="00F31B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16" w:history="1">
                    <w:r w:rsidRPr="00F31B0A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19.12.2024</w:t>
                    </w:r>
                  </w:hyperlink>
                </w:p>
              </w:tc>
            </w:tr>
            <w:tr w:rsidR="00F31B0A" w:rsidRPr="00F31B0A" w:rsidTr="00F31B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31B0A" w:rsidRPr="00F31B0A" w:rsidRDefault="00F31B0A" w:rsidP="00F31B0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8:00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D3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Admite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formulată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SCHREDER ROMÂNIA SRL, J, CIF ,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sediul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procesual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ales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contradictoriu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MOOZ SERVICES SRL, J, CUI ,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sediul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procesual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ales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Somează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ca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30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prezentei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ordonanţe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plătească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suma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999999,99 lei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reprezentând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contravaloare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parţială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factură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fiscală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23110396/27.11.2023,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respectiv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contravaloare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factură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fiscală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nr. 24110006/12.01.2024.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Obligă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plata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către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sumei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200 lei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titlu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cheltuieli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judecată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Cu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drept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pentru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termen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10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zile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de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comunicarea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prezentei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sentinţe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civile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Cererea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în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anulare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depune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Tribunalul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Specializat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Cluj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Pronunţată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punerea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soluţiei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dispoziţia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părţilor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prin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mijlocirea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grefei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instanţei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astăzi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, 19.12.2024.</w:t>
                  </w:r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Document: </w:t>
                  </w:r>
                  <w:proofErr w:type="spellStart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Hotarâre</w:t>
                  </w:r>
                  <w:proofErr w:type="spellEnd"/>
                  <w:r w:rsidRPr="00F31B0A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  2395/2024  19.12.2024</w:t>
                  </w:r>
                </w:p>
              </w:tc>
            </w:tr>
          </w:tbl>
          <w:p w:rsidR="00F31B0A" w:rsidRPr="00F31B0A" w:rsidRDefault="00F31B0A" w:rsidP="00F31B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31B0A" w:rsidRDefault="00F31B0A">
      <w:pPr>
        <w:rPr>
          <w:lang w:val="ro-RO"/>
        </w:rPr>
      </w:pPr>
    </w:p>
    <w:p w:rsidR="0021485C" w:rsidRDefault="0021485C">
      <w:pPr>
        <w:rPr>
          <w:lang w:val="ro-RO"/>
        </w:rPr>
      </w:pPr>
    </w:p>
    <w:p w:rsidR="0021485C" w:rsidRDefault="0021485C">
      <w:pPr>
        <w:rPr>
          <w:lang w:val="ro-RO"/>
        </w:rPr>
      </w:pPr>
      <w:r>
        <w:rPr>
          <w:lang w:val="ro-RO"/>
        </w:rPr>
        <w:t>11.</w:t>
      </w:r>
    </w:p>
    <w:p w:rsidR="0021485C" w:rsidRPr="00F31B0A" w:rsidRDefault="0021485C">
      <w:pPr>
        <w:rPr>
          <w:lang w:val="ro-RO"/>
        </w:rPr>
      </w:pPr>
    </w:p>
    <w:sectPr w:rsidR="0021485C" w:rsidRPr="00F31B0A" w:rsidSect="00C7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B0A"/>
    <w:rsid w:val="0021485C"/>
    <w:rsid w:val="00C7275E"/>
    <w:rsid w:val="00F3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5E"/>
  </w:style>
  <w:style w:type="paragraph" w:styleId="Heading3">
    <w:name w:val="heading 3"/>
    <w:basedOn w:val="Normal"/>
    <w:link w:val="Heading3Char"/>
    <w:uiPriority w:val="9"/>
    <w:qFormat/>
    <w:rsid w:val="00F31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B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1">
    <w:name w:val="style1"/>
    <w:basedOn w:val="DefaultParagraphFont"/>
    <w:rsid w:val="00F31B0A"/>
  </w:style>
  <w:style w:type="character" w:styleId="Hyperlink">
    <w:name w:val="Hyperlink"/>
    <w:basedOn w:val="DefaultParagraphFont"/>
    <w:uiPriority w:val="99"/>
    <w:semiHidden/>
    <w:unhideWhenUsed/>
    <w:rsid w:val="00F31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just.ro/1285/SitePages/Dosare_Sedinta.aspx?id_sedinta=128500000000047586&amp;id_inst=1285" TargetMode="External"/><Relationship Id="rId13" Type="http://schemas.openxmlformats.org/officeDocument/2006/relationships/hyperlink" Target="https://portal.just.ro/36/SitePages/Dosare_Sedinta.aspx?id_sedinta=3600000000082732&amp;id_inst=3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rtal.just.ro/1285/SitePages/Dosare_Sedinta.aspx?id_sedinta=128500000000047231&amp;id_inst=1285" TargetMode="External"/><Relationship Id="rId12" Type="http://schemas.openxmlformats.org/officeDocument/2006/relationships/hyperlink" Target="https://portal.just.ro/118/SitePages/Dosare_Sedinta.aspx?id_sedinta=11800000000177379&amp;id_inst=11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ortal.just.ro/1285/SitePages/Dosare_Sedinta.aspx?id_sedinta=128500000000045956&amp;id_inst=1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just.ro/118/SitePages/Dosare_Sedinta.aspx?id_sedinta=11800000000179982&amp;id_inst=118" TargetMode="External"/><Relationship Id="rId11" Type="http://schemas.openxmlformats.org/officeDocument/2006/relationships/hyperlink" Target="https://portal.just.ro/118/SitePages/Dosare_Sedinta.aspx?id_sedinta=11800000000177472&amp;id_inst=118" TargetMode="External"/><Relationship Id="rId5" Type="http://schemas.openxmlformats.org/officeDocument/2006/relationships/hyperlink" Target="https://portal.just.ro/118/SitePages/Dosare_Sedinta.aspx?id_sedinta=11800000000178567&amp;id_inst=118" TargetMode="External"/><Relationship Id="rId15" Type="http://schemas.openxmlformats.org/officeDocument/2006/relationships/hyperlink" Target="https://portal.just.ro/118/SitePages/Dosare_Sedinta.aspx?id_sedinta=11800000000179406&amp;id_inst=118" TargetMode="External"/><Relationship Id="rId10" Type="http://schemas.openxmlformats.org/officeDocument/2006/relationships/hyperlink" Target="https://portal.just.ro/118/SitePages/Dosare_Sedinta.aspx?id_sedinta=11800000000177492&amp;id_inst=118" TargetMode="External"/><Relationship Id="rId4" Type="http://schemas.openxmlformats.org/officeDocument/2006/relationships/hyperlink" Target="https://portal.just.ro/118/SitePages/Dosare_Sedinta.aspx?id_sedinta=11800000000179853&amp;id_inst=118" TargetMode="External"/><Relationship Id="rId9" Type="http://schemas.openxmlformats.org/officeDocument/2006/relationships/hyperlink" Target="https://portal.just.ro/212/SitePages/Dosare_Sedinta.aspx?id_sedinta=21200000000352533&amp;id_inst=212" TargetMode="External"/><Relationship Id="rId14" Type="http://schemas.openxmlformats.org/officeDocument/2006/relationships/hyperlink" Target="https://portal.just.ro/36/SitePages/Dosare_Sedinta.aspx?id_sedinta=3600000000082110&amp;id_inst=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2025-10-10T05:12:00Z</dcterms:created>
  <dcterms:modified xsi:type="dcterms:W3CDTF">2025-10-10T05:24:00Z</dcterms:modified>
</cp:coreProperties>
</file>