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937"/>
        <w:contextualSpacing w:val="0"/>
        <w:jc w:val="center"/>
        <w:rPr>
          <w:rFonts w:ascii="Tahoma" w:cs="Tahoma" w:eastAsia="Tahoma" w:hAnsi="Tahoma"/>
          <w:b w:val="0"/>
          <w:vertAlign w:val="baseline"/>
        </w:rPr>
      </w:pPr>
      <w:r w:rsidDel="00000000" w:rsidR="00000000" w:rsidRPr="00000000">
        <w:rPr>
          <w:rtl w:val="0"/>
        </w:rPr>
      </w:r>
    </w:p>
    <w:p w:rsidR="00000000" w:rsidDel="00000000" w:rsidP="00000000" w:rsidRDefault="00000000" w:rsidRPr="00000000" w14:paraId="00000001">
      <w:pPr>
        <w:ind w:right="-937"/>
        <w:contextualSpacing w:val="0"/>
        <w:jc w:val="center"/>
        <w:rPr>
          <w:vertAlign w:val="baseline"/>
        </w:rPr>
      </w:pPr>
      <w:r w:rsidDel="00000000" w:rsidR="00000000" w:rsidRPr="00000000">
        <w:rPr>
          <w:rFonts w:ascii="Tahoma" w:cs="Tahoma" w:eastAsia="Tahoma" w:hAnsi="Tahoma"/>
          <w:b w:val="1"/>
          <w:vertAlign w:val="baseline"/>
          <w:rtl w:val="0"/>
        </w:rPr>
        <w:t xml:space="preserve">COMITETUL JUDEŢEAN PENTRU SITUAŢII DE URGENŢĂ CONSTANȚA</w:t>
      </w:r>
      <w:r w:rsidDel="00000000" w:rsidR="00000000" w:rsidRPr="00000000">
        <w:rPr>
          <w:rtl w:val="0"/>
        </w:rPr>
      </w:r>
    </w:p>
    <w:p w:rsidR="00000000" w:rsidDel="00000000" w:rsidP="00000000" w:rsidRDefault="00000000" w:rsidRPr="00000000" w14:paraId="00000002">
      <w:pPr>
        <w:ind w:right="-941"/>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HOTĂRÂRE</w:t>
      </w:r>
      <w:r w:rsidDel="00000000" w:rsidR="00000000" w:rsidRPr="00000000">
        <w:rPr>
          <w:rtl w:val="0"/>
        </w:rPr>
      </w:r>
    </w:p>
    <w:p w:rsidR="00000000" w:rsidDel="00000000" w:rsidP="00000000" w:rsidRDefault="00000000" w:rsidRPr="00000000" w14:paraId="00000003">
      <w:pPr>
        <w:ind w:right="-937" w:firstLine="720"/>
        <w:contextualSpacing w:val="0"/>
        <w:jc w:val="both"/>
        <w:rPr>
          <w:rFonts w:ascii="Tahoma" w:cs="Tahoma" w:eastAsia="Tahoma" w:hAnsi="Tahoma"/>
          <w:vertAlign w:val="baseline"/>
        </w:rPr>
      </w:pPr>
      <w:r w:rsidDel="00000000" w:rsidR="00000000" w:rsidRPr="00000000">
        <w:rPr>
          <w:rFonts w:ascii="Tahoma" w:cs="Tahoma" w:eastAsia="Tahoma" w:hAnsi="Tahoma"/>
          <w:vertAlign w:val="baseline"/>
          <w:rtl w:val="0"/>
        </w:rPr>
        <w:t xml:space="preserve">Având în vedere:</w:t>
      </w:r>
    </w:p>
    <w:p w:rsidR="00000000" w:rsidDel="00000000" w:rsidP="00000000" w:rsidRDefault="00000000" w:rsidRPr="00000000" w14:paraId="00000004">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Prevederile Legii nr. 55/2020 privind unele măsuri pentru prevenirea și combaterea efectelor pandemiei de COVID-19, modificată și actualizată</w:t>
      </w:r>
    </w:p>
    <w:p w:rsidR="00000000" w:rsidDel="00000000" w:rsidP="00000000" w:rsidRDefault="00000000" w:rsidRPr="00000000" w14:paraId="00000005">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Prevederile Legii nr. 136/2020 privind instituirea unor măsuri în domeniul sănătății publice în situații de risc epidemiologic și biologic, republicată, modificată și actualizată</w:t>
      </w:r>
    </w:p>
    <w:p w:rsidR="00000000" w:rsidDel="00000000" w:rsidP="00000000" w:rsidRDefault="00000000" w:rsidRPr="00000000" w14:paraId="00000006">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Prevederile Ordinului Ministerului Sănătății nr. 1309/2020 privind modalitatea de aplicare a măsurilor de prevenire și limitare a îmbolnăvirilor cu SARS-CoV-2</w:t>
      </w:r>
    </w:p>
    <w:p w:rsidR="00000000" w:rsidDel="00000000" w:rsidP="00000000" w:rsidRDefault="00000000" w:rsidRPr="00000000" w14:paraId="00000007">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Prevederile Hotărârii de Guvern nr. 432/2021 privind prelungirea stării de alertă pe teritoriul României începând cu data de 13 aprilie 2021, precum şi stabilirea măsurilor care se aplică pe durata acesteia pentru prevenirea şi combaterea efectelor pandemiei de COVID-19</w:t>
      </w:r>
    </w:p>
    <w:p w:rsidR="00000000" w:rsidDel="00000000" w:rsidP="00000000" w:rsidRDefault="00000000" w:rsidRPr="00000000" w14:paraId="00000008">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Prevederile HCNSU nr. 50/26.10.2020, nr. 60/17.12.2020 și nr. 22/08.04.2021</w:t>
      </w:r>
    </w:p>
    <w:p w:rsidR="00000000" w:rsidDel="00000000" w:rsidP="00000000" w:rsidRDefault="00000000" w:rsidRPr="00000000" w14:paraId="00000009">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Hotărârile Comitetului Județean pentru Situații de Urgență Constanta nr. 53/01.04.2021, 56/12.04.2021 și 57/12.04.2021</w:t>
      </w:r>
    </w:p>
    <w:p w:rsidR="00000000" w:rsidDel="00000000" w:rsidP="00000000" w:rsidRDefault="00000000" w:rsidRPr="00000000" w14:paraId="0000000A">
      <w:pPr>
        <w:numPr>
          <w:ilvl w:val="0"/>
          <w:numId w:val="1"/>
        </w:numPr>
        <w:ind w:left="567" w:right="-887" w:hanging="425"/>
        <w:contextualSpacing w:val="0"/>
        <w:jc w:val="both"/>
        <w:rPr/>
      </w:pPr>
      <w:r w:rsidDel="00000000" w:rsidR="00000000" w:rsidRPr="00000000">
        <w:rPr>
          <w:rFonts w:ascii="Tahoma" w:cs="Tahoma" w:eastAsia="Tahoma" w:hAnsi="Tahoma"/>
          <w:vertAlign w:val="baseline"/>
          <w:rtl w:val="0"/>
        </w:rPr>
        <w:t xml:space="preserve">Adresa Direcției de Sănătate Publică a Județului Constanța nr. R16825/15.04.2021</w:t>
      </w:r>
    </w:p>
    <w:p w:rsidR="00000000" w:rsidDel="00000000" w:rsidP="00000000" w:rsidRDefault="00000000" w:rsidRPr="00000000" w14:paraId="0000000B">
      <w:pPr>
        <w:ind w:left="567" w:right="-887"/>
        <w:contextualSpacing w:val="0"/>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C">
      <w:pPr>
        <w:ind w:right="-887" w:firstLine="567"/>
        <w:contextualSpacing w:val="0"/>
        <w:jc w:val="both"/>
        <w:rPr>
          <w:rFonts w:ascii="Tahoma" w:cs="Tahoma" w:eastAsia="Tahoma" w:hAnsi="Tahoma"/>
          <w:sz w:val="16"/>
          <w:szCs w:val="16"/>
          <w:vertAlign w:val="baseline"/>
        </w:rPr>
      </w:pPr>
      <w:r w:rsidDel="00000000" w:rsidR="00000000" w:rsidRPr="00000000">
        <w:rPr>
          <w:rFonts w:ascii="Tahoma" w:cs="Tahoma" w:eastAsia="Tahoma" w:hAnsi="Tahoma"/>
          <w:vertAlign w:val="baseline"/>
          <w:rtl w:val="0"/>
        </w:rPr>
        <w:t xml:space="preserve">În conformitate cu prevederile Ordonanței de Urgență nr. 21/2004 privind Sistemul Național de Management al Situațiilor de Urgență, cu modificările ulterioare şi H.G. nr. 1491/2004 pentru aprobarea Regulamentului – cadru privind structura organizatorică, atribuțiile, funcționarea şi dotarea comitetelor şi centrelor operative pentru situații de urgență</w:t>
      </w:r>
      <w:r w:rsidDel="00000000" w:rsidR="00000000" w:rsidRPr="00000000">
        <w:rPr>
          <w:rtl w:val="0"/>
        </w:rPr>
      </w:r>
    </w:p>
    <w:p w:rsidR="00000000" w:rsidDel="00000000" w:rsidP="00000000" w:rsidRDefault="00000000" w:rsidRPr="00000000" w14:paraId="0000000D">
      <w:pPr>
        <w:ind w:right="-937"/>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Comitetul Judeţean pentru Situaţii de Urgenţă Constanța</w:t>
      </w:r>
      <w:r w:rsidDel="00000000" w:rsidR="00000000" w:rsidRPr="00000000">
        <w:rPr>
          <w:rtl w:val="0"/>
        </w:rPr>
      </w:r>
    </w:p>
    <w:p w:rsidR="00000000" w:rsidDel="00000000" w:rsidP="00000000" w:rsidRDefault="00000000" w:rsidRPr="00000000" w14:paraId="0000000E">
      <w:pPr>
        <w:ind w:right="-937"/>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hotărăşte:</w:t>
      </w:r>
      <w:r w:rsidDel="00000000" w:rsidR="00000000" w:rsidRPr="00000000">
        <w:rPr>
          <w:rtl w:val="0"/>
        </w:rPr>
      </w:r>
    </w:p>
    <w:p w:rsidR="00000000" w:rsidDel="00000000" w:rsidP="00000000" w:rsidRDefault="00000000" w:rsidRPr="00000000" w14:paraId="0000000F">
      <w:pPr>
        <w:ind w:right="-937"/>
        <w:contextualSpacing w:val="0"/>
        <w:jc w:val="both"/>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10">
      <w:pPr>
        <w:ind w:right="-937"/>
        <w:contextualSpacing w:val="0"/>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Art. 1 –</w:t>
      </w:r>
      <w:r w:rsidDel="00000000" w:rsidR="00000000" w:rsidRPr="00000000">
        <w:rPr>
          <w:rFonts w:ascii="Tahoma" w:cs="Tahoma" w:eastAsia="Tahoma" w:hAnsi="Tahoma"/>
          <w:vertAlign w:val="baseline"/>
          <w:rtl w:val="0"/>
        </w:rPr>
        <w:t xml:space="preserve"> Se constată încadrarea în limitele de incidență cumulată la 14 zile mai mare de 4/1000 de locuitori și mai mică sau egală cu 7,5/1000 de locuitori a </w:t>
      </w:r>
      <w:r w:rsidDel="00000000" w:rsidR="00000000" w:rsidRPr="00000000">
        <w:rPr>
          <w:rFonts w:ascii="Tahoma" w:cs="Tahoma" w:eastAsia="Tahoma" w:hAnsi="Tahoma"/>
          <w:b w:val="1"/>
          <w:vertAlign w:val="baseline"/>
          <w:rtl w:val="0"/>
        </w:rPr>
        <w:t xml:space="preserve"> U.A.T. Seimeni.</w:t>
      </w:r>
      <w:r w:rsidDel="00000000" w:rsidR="00000000" w:rsidRPr="00000000">
        <w:rPr>
          <w:rtl w:val="0"/>
        </w:rPr>
      </w:r>
    </w:p>
    <w:p w:rsidR="00000000" w:rsidDel="00000000" w:rsidP="00000000" w:rsidRDefault="00000000" w:rsidRPr="00000000" w14:paraId="00000011">
      <w:pPr>
        <w:ind w:right="-937"/>
        <w:contextualSpacing w:val="0"/>
        <w:jc w:val="both"/>
        <w:rPr>
          <w:rFonts w:ascii="Tahoma" w:cs="Tahoma" w:eastAsia="Tahoma" w:hAnsi="Tahoma"/>
          <w:sz w:val="16"/>
          <w:szCs w:val="16"/>
          <w:vertAlign w:val="baseline"/>
        </w:rPr>
      </w:pPr>
      <w:r w:rsidDel="00000000" w:rsidR="00000000" w:rsidRPr="00000000">
        <w:rPr>
          <w:rtl w:val="0"/>
        </w:rPr>
      </w:r>
    </w:p>
    <w:p w:rsidR="00000000" w:rsidDel="00000000" w:rsidP="00000000" w:rsidRDefault="00000000" w:rsidRPr="00000000" w14:paraId="00000012">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2 – </w:t>
      </w:r>
      <w:r w:rsidDel="00000000" w:rsidR="00000000" w:rsidRPr="00000000">
        <w:rPr>
          <w:rFonts w:ascii="Tahoma" w:cs="Tahoma" w:eastAsia="Tahoma" w:hAnsi="Tahoma"/>
          <w:vertAlign w:val="baseline"/>
          <w:rtl w:val="0"/>
        </w:rPr>
        <w:t xml:space="preserve">Comitetul Local pentru Situații de Urgență ale U.A.T. Seimeni</w:t>
      </w:r>
      <w:r w:rsidDel="00000000" w:rsidR="00000000" w:rsidRPr="00000000">
        <w:rPr>
          <w:rFonts w:ascii="Tahoma" w:cs="Tahoma" w:eastAsia="Tahoma" w:hAnsi="Tahoma"/>
          <w:color w:val="ff0000"/>
          <w:vertAlign w:val="baseline"/>
          <w:rtl w:val="0"/>
        </w:rPr>
        <w:t xml:space="preserve"> </w:t>
      </w:r>
      <w:r w:rsidDel="00000000" w:rsidR="00000000" w:rsidRPr="00000000">
        <w:rPr>
          <w:rFonts w:ascii="Tahoma" w:cs="Tahoma" w:eastAsia="Tahoma" w:hAnsi="Tahoma"/>
          <w:vertAlign w:val="baseline"/>
          <w:rtl w:val="0"/>
        </w:rPr>
        <w:t xml:space="preserve">va întreprinde, prin grija primăriei, demersuri pentru respectarea pe teritoriul acestora a măsurilor pentru prevenirea răspândirii infectării cu virusul SARS-CoV-2, stabilite suplimentar în Anexa 6 din Hotărârea CJSU nr. 56/12.04.2021, atașată prezentei.  </w:t>
      </w:r>
    </w:p>
    <w:p w:rsidR="00000000" w:rsidDel="00000000" w:rsidP="00000000" w:rsidRDefault="00000000" w:rsidRPr="00000000" w14:paraId="00000013">
      <w:pPr>
        <w:ind w:right="-937"/>
        <w:contextualSpacing w:val="0"/>
        <w:jc w:val="both"/>
        <w:rPr>
          <w:rFonts w:ascii="Tahoma" w:cs="Tahoma" w:eastAsia="Tahoma" w:hAnsi="Tahoma"/>
          <w:b w:val="0"/>
          <w:sz w:val="16"/>
          <w:szCs w:val="16"/>
          <w:vertAlign w:val="baseline"/>
        </w:rPr>
      </w:pPr>
      <w:r w:rsidDel="00000000" w:rsidR="00000000" w:rsidRPr="00000000">
        <w:rPr>
          <w:rtl w:val="0"/>
        </w:rPr>
      </w:r>
    </w:p>
    <w:p w:rsidR="00000000" w:rsidDel="00000000" w:rsidP="00000000" w:rsidRDefault="00000000" w:rsidRPr="00000000" w14:paraId="00000014">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3 –</w:t>
      </w:r>
      <w:r w:rsidDel="00000000" w:rsidR="00000000" w:rsidRPr="00000000">
        <w:rPr>
          <w:rFonts w:ascii="Tahoma" w:cs="Tahoma" w:eastAsia="Tahoma" w:hAnsi="Tahoma"/>
          <w:vertAlign w:val="baseline"/>
          <w:rtl w:val="0"/>
        </w:rPr>
        <w:t xml:space="preserve"> În urma reevaluării încadrării celor 5 U.A.T.-uri (Eforie, Ovidiu, Agigea, Cumpăna, Tortoman) în limita de incidență cumulată la 14 zile,</w:t>
      </w:r>
      <w:r w:rsidDel="00000000" w:rsidR="00000000" w:rsidRPr="00000000">
        <w:rPr>
          <w:rFonts w:ascii="Tahoma" w:cs="Tahoma" w:eastAsia="Tahoma" w:hAnsi="Tahoma"/>
          <w:color w:val="ff0000"/>
          <w:vertAlign w:val="baseline"/>
          <w:rtl w:val="0"/>
        </w:rPr>
        <w:t xml:space="preserve"> </w:t>
      </w:r>
      <w:r w:rsidDel="00000000" w:rsidR="00000000" w:rsidRPr="00000000">
        <w:rPr>
          <w:rFonts w:ascii="Tahoma" w:cs="Tahoma" w:eastAsia="Tahoma" w:hAnsi="Tahoma"/>
          <w:vertAlign w:val="baseline"/>
          <w:rtl w:val="0"/>
        </w:rPr>
        <w:t xml:space="preserve">din Hotărârea CJSU nr. 53/01.04.2021,</w:t>
      </w:r>
      <w:r w:rsidDel="00000000" w:rsidR="00000000" w:rsidRPr="00000000">
        <w:rPr>
          <w:rFonts w:ascii="Tahoma" w:cs="Tahoma" w:eastAsia="Tahoma" w:hAnsi="Tahoma"/>
          <w:color w:val="ff0000"/>
          <w:vertAlign w:val="baseline"/>
          <w:rtl w:val="0"/>
        </w:rPr>
        <w:t xml:space="preserve"> </w:t>
      </w:r>
      <w:r w:rsidDel="00000000" w:rsidR="00000000" w:rsidRPr="00000000">
        <w:rPr>
          <w:rFonts w:ascii="Tahoma" w:cs="Tahoma" w:eastAsia="Tahoma" w:hAnsi="Tahoma"/>
          <w:b w:val="1"/>
          <w:vertAlign w:val="baseline"/>
          <w:rtl w:val="0"/>
        </w:rPr>
        <w:t xml:space="preserve">2 U.A.T.-uri (Cumpăna, Tortoman)</w:t>
      </w:r>
      <w:r w:rsidDel="00000000" w:rsidR="00000000" w:rsidRPr="00000000">
        <w:rPr>
          <w:rFonts w:ascii="Tahoma" w:cs="Tahoma" w:eastAsia="Tahoma" w:hAnsi="Tahoma"/>
          <w:vertAlign w:val="baseline"/>
          <w:rtl w:val="0"/>
        </w:rPr>
        <w:t xml:space="preserve"> vor respecta în continuare măsurile pentru prevenirea răspândirii infectării cu virusul SARS-CoV-2, stabilite suplimentar în Anexa 6 din Hotărârea CJSU nr. 56/12.04.2021, atașată prezentei, întrucât incidența cumulată la 14 zile</w:t>
      </w:r>
      <w:r w:rsidDel="00000000" w:rsidR="00000000" w:rsidRPr="00000000">
        <w:rPr>
          <w:rFonts w:ascii="Tahoma" w:cs="Tahoma" w:eastAsia="Tahoma" w:hAnsi="Tahoma"/>
          <w:rtl w:val="0"/>
        </w:rPr>
        <w:t xml:space="preserve"> nu </w:t>
      </w:r>
      <w:r w:rsidDel="00000000" w:rsidR="00000000" w:rsidRPr="00000000">
        <w:rPr>
          <w:rFonts w:ascii="Tahoma" w:cs="Tahoma" w:eastAsia="Tahoma" w:hAnsi="Tahoma"/>
          <w:vertAlign w:val="baseline"/>
          <w:rtl w:val="0"/>
        </w:rPr>
        <w:t xml:space="preserve">este mai mică sau egală cu 3,5 la mia de locuitori.</w:t>
      </w:r>
    </w:p>
    <w:p w:rsidR="00000000" w:rsidDel="00000000" w:rsidP="00000000" w:rsidRDefault="00000000" w:rsidRPr="00000000" w14:paraId="00000015">
      <w:pPr>
        <w:ind w:right="-937"/>
        <w:contextualSpacing w:val="0"/>
        <w:jc w:val="both"/>
        <w:rPr>
          <w:rFonts w:ascii="Tahoma" w:cs="Tahoma" w:eastAsia="Tahoma" w:hAnsi="Tahoma"/>
          <w:b w:val="0"/>
          <w:sz w:val="16"/>
          <w:szCs w:val="16"/>
          <w:vertAlign w:val="baseline"/>
        </w:rPr>
      </w:pPr>
      <w:r w:rsidDel="00000000" w:rsidR="00000000" w:rsidRPr="00000000">
        <w:rPr>
          <w:rtl w:val="0"/>
        </w:rPr>
      </w:r>
    </w:p>
    <w:p w:rsidR="00000000" w:rsidDel="00000000" w:rsidP="00000000" w:rsidRDefault="00000000" w:rsidRPr="00000000" w14:paraId="00000016">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4 –</w:t>
      </w:r>
      <w:r w:rsidDel="00000000" w:rsidR="00000000" w:rsidRPr="00000000">
        <w:rPr>
          <w:rFonts w:ascii="Tahoma" w:cs="Tahoma" w:eastAsia="Tahoma" w:hAnsi="Tahoma"/>
          <w:vertAlign w:val="baseline"/>
          <w:rtl w:val="0"/>
        </w:rPr>
        <w:t xml:space="preserve"> Primăria U.A.T.-urilor menționate la Art. 1 (Seimeni) și Art.3 (Cumpăna, Tortoman) vor desemna personal din cadrul instituțiilor pentru:</w:t>
      </w:r>
    </w:p>
    <w:p w:rsidR="00000000" w:rsidDel="00000000" w:rsidP="00000000" w:rsidRDefault="00000000" w:rsidRPr="00000000" w14:paraId="00000017">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4.1</w:t>
      </w:r>
      <w:r w:rsidDel="00000000" w:rsidR="00000000" w:rsidRPr="00000000">
        <w:rPr>
          <w:rFonts w:ascii="Tahoma" w:cs="Tahoma" w:eastAsia="Tahoma" w:hAnsi="Tahoma"/>
          <w:vertAlign w:val="baseline"/>
          <w:rtl w:val="0"/>
        </w:rPr>
        <w:t xml:space="preserve"> - punerea în aplicare, respectare și verificare a măsurilor conform prevederilor de la Art. 2 și Art. 3</w:t>
      </w:r>
    </w:p>
    <w:p w:rsidR="00000000" w:rsidDel="00000000" w:rsidP="00000000" w:rsidRDefault="00000000" w:rsidRPr="00000000" w14:paraId="00000018">
      <w:pPr>
        <w:tabs>
          <w:tab w:val="left" w:pos="284"/>
        </w:tabs>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4.2 </w:t>
      </w:r>
      <w:r w:rsidDel="00000000" w:rsidR="00000000" w:rsidRPr="00000000">
        <w:rPr>
          <w:rFonts w:ascii="Tahoma" w:cs="Tahoma" w:eastAsia="Tahoma" w:hAnsi="Tahoma"/>
          <w:vertAlign w:val="baseline"/>
          <w:rtl w:val="0"/>
        </w:rPr>
        <w:t xml:space="preserve">- urmărirea zilnică pe pagina de internet a Direcției de Sănătate Publică a Județului Constanța (https://dspct.ro/incidenta-covid-19/) a situației privind incidența cumulată la 14 zile;</w:t>
      </w:r>
    </w:p>
    <w:p w:rsidR="00000000" w:rsidDel="00000000" w:rsidP="00000000" w:rsidRDefault="00000000" w:rsidRPr="00000000" w14:paraId="00000019">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4.3</w:t>
      </w:r>
      <w:r w:rsidDel="00000000" w:rsidR="00000000" w:rsidRPr="00000000">
        <w:rPr>
          <w:rFonts w:ascii="Tahoma" w:cs="Tahoma" w:eastAsia="Tahoma" w:hAnsi="Tahoma"/>
          <w:vertAlign w:val="baseline"/>
          <w:rtl w:val="0"/>
        </w:rPr>
        <w:t xml:space="preserve"> - informarea populației și a operatorilor economici vizați de măsurile sus-menționate.</w:t>
      </w:r>
    </w:p>
    <w:p w:rsidR="00000000" w:rsidDel="00000000" w:rsidP="00000000" w:rsidRDefault="00000000" w:rsidRPr="00000000" w14:paraId="0000001A">
      <w:pPr>
        <w:ind w:right="-937"/>
        <w:contextualSpacing w:val="0"/>
        <w:jc w:val="both"/>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B">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5 –</w:t>
      </w:r>
      <w:r w:rsidDel="00000000" w:rsidR="00000000" w:rsidRPr="00000000">
        <w:rPr>
          <w:rFonts w:ascii="Tahoma" w:cs="Tahoma" w:eastAsia="Tahoma" w:hAnsi="Tahoma"/>
          <w:vertAlign w:val="baseline"/>
          <w:rtl w:val="0"/>
        </w:rPr>
        <w:t xml:space="preserve"> Măsurile adoptate în conformitate cu Art. 2 și Art. 3 se aplică pentru o perioadă de 14 zile, începând cu data de 16.04.2021, ora 00.00, urmând a fi reevaluate la finalul acesteia și nu se mai aplică dacă incidența cumulată la 14 zile este mai mică sau egală cu 3,5 la mia de locuitori.</w:t>
      </w:r>
    </w:p>
    <w:p w:rsidR="00000000" w:rsidDel="00000000" w:rsidP="00000000" w:rsidRDefault="00000000" w:rsidRPr="00000000" w14:paraId="0000001C">
      <w:pPr>
        <w:ind w:right="-937"/>
        <w:contextualSpacing w:val="0"/>
        <w:jc w:val="both"/>
        <w:rPr>
          <w:rFonts w:ascii="Tahoma" w:cs="Tahoma" w:eastAsia="Tahoma" w:hAnsi="Tahoma"/>
          <w:sz w:val="10"/>
          <w:szCs w:val="10"/>
          <w:vertAlign w:val="baseline"/>
        </w:rPr>
      </w:pPr>
      <w:r w:rsidDel="00000000" w:rsidR="00000000" w:rsidRPr="00000000">
        <w:rPr>
          <w:rtl w:val="0"/>
        </w:rPr>
      </w:r>
    </w:p>
    <w:p w:rsidR="00000000" w:rsidDel="00000000" w:rsidP="00000000" w:rsidRDefault="00000000" w:rsidRPr="00000000" w14:paraId="0000001D">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6 –</w:t>
      </w:r>
      <w:r w:rsidDel="00000000" w:rsidR="00000000" w:rsidRPr="00000000">
        <w:rPr>
          <w:rFonts w:ascii="Tahoma" w:cs="Tahoma" w:eastAsia="Tahoma" w:hAnsi="Tahoma"/>
          <w:vertAlign w:val="baseline"/>
          <w:rtl w:val="0"/>
        </w:rPr>
        <w:t xml:space="preserve"> Primăriile U.A.T.-urilor menționate la Art. 1 și Art. 3 vor comunica până în data de 16.04.2021, ora 13.00, Comitetului Județean pentru Situații de Urgență Constanța, toate măsurile adoptate și modul de respectare a acestora pe raza U.A.T.-urilor, în conformitate cu prevederile H.G. nr. 432/2021, la adresa de mail: </w:t>
      </w:r>
      <w:hyperlink r:id="rId6">
        <w:r w:rsidDel="00000000" w:rsidR="00000000" w:rsidRPr="00000000">
          <w:rPr>
            <w:rFonts w:ascii="Tahoma" w:cs="Tahoma" w:eastAsia="Tahoma" w:hAnsi="Tahoma"/>
            <w:color w:val="000000"/>
            <w:u w:val="none"/>
            <w:vertAlign w:val="baseline"/>
            <w:rtl w:val="0"/>
          </w:rPr>
          <w:t xml:space="preserve">deconcentrate@prefecturaconstanta.ro</w:t>
        </w:r>
      </w:hyperlink>
      <w:r w:rsidDel="00000000" w:rsidR="00000000" w:rsidRPr="00000000">
        <w:rPr>
          <w:rFonts w:ascii="Tahoma" w:cs="Tahoma" w:eastAsia="Tahoma" w:hAnsi="Tahoma"/>
          <w:vertAlign w:val="baseline"/>
          <w:rtl w:val="0"/>
        </w:rPr>
        <w:t xml:space="preserve">.</w:t>
      </w:r>
    </w:p>
    <w:p w:rsidR="00000000" w:rsidDel="00000000" w:rsidP="00000000" w:rsidRDefault="00000000" w:rsidRPr="00000000" w14:paraId="0000001E">
      <w:pPr>
        <w:ind w:right="-937"/>
        <w:contextualSpacing w:val="0"/>
        <w:jc w:val="both"/>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1F">
      <w:pPr>
        <w:ind w:right="-937"/>
        <w:contextualSpacing w:val="0"/>
        <w:jc w:val="both"/>
        <w:rPr>
          <w:rFonts w:ascii="Tahoma" w:cs="Tahoma" w:eastAsia="Tahoma" w:hAnsi="Tahoma"/>
          <w:vertAlign w:val="baseline"/>
        </w:rPr>
      </w:pPr>
      <w:r w:rsidDel="00000000" w:rsidR="00000000" w:rsidRPr="00000000">
        <w:rPr>
          <w:rFonts w:ascii="Tahoma" w:cs="Tahoma" w:eastAsia="Tahoma" w:hAnsi="Tahoma"/>
          <w:b w:val="1"/>
          <w:vertAlign w:val="baseline"/>
          <w:rtl w:val="0"/>
        </w:rPr>
        <w:t xml:space="preserve">Art. 7 –</w:t>
      </w:r>
      <w:r w:rsidDel="00000000" w:rsidR="00000000" w:rsidRPr="00000000">
        <w:rPr>
          <w:rFonts w:ascii="Tahoma" w:cs="Tahoma" w:eastAsia="Tahoma" w:hAnsi="Tahoma"/>
          <w:vertAlign w:val="baseline"/>
          <w:rtl w:val="0"/>
        </w:rPr>
        <w:t xml:space="preserve"> Secretariatul tehnic permanent va comunica prezenta hotărâre membrilor Comitetului Județean pentru Situații de Urgență Constanța, unităților administrativ-teritoriale vizate de prezenta hotărâre și tuturor factorilor interesați.</w:t>
      </w:r>
    </w:p>
    <w:p w:rsidR="00000000" w:rsidDel="00000000" w:rsidP="00000000" w:rsidRDefault="00000000" w:rsidRPr="00000000" w14:paraId="00000020">
      <w:pPr>
        <w:tabs>
          <w:tab w:val="left" w:pos="8789"/>
        </w:tabs>
        <w:ind w:right="-937"/>
        <w:contextualSpacing w:val="0"/>
        <w:jc w:val="both"/>
        <w:rPr>
          <w:rFonts w:ascii="Tahoma" w:cs="Tahoma" w:eastAsia="Tahoma" w:hAnsi="Tahoma"/>
          <w:sz w:val="10"/>
          <w:szCs w:val="10"/>
          <w:vertAlign w:val="baseline"/>
        </w:rPr>
      </w:pPr>
      <w:r w:rsidDel="00000000" w:rsidR="00000000" w:rsidRPr="00000000">
        <w:rPr>
          <w:rtl w:val="0"/>
        </w:rPr>
      </w:r>
    </w:p>
    <w:p w:rsidR="00000000" w:rsidDel="00000000" w:rsidP="00000000" w:rsidRDefault="00000000" w:rsidRPr="00000000" w14:paraId="00000021">
      <w:pPr>
        <w:ind w:right="-937"/>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PREŞEDINTELE COMITETULUI JUDEŢEAN PENTRU SITUAŢII DE URGENŢĂ</w:t>
      </w:r>
      <w:r w:rsidDel="00000000" w:rsidR="00000000" w:rsidRPr="00000000">
        <w:rPr>
          <w:rtl w:val="0"/>
        </w:rPr>
      </w:r>
    </w:p>
    <w:p w:rsidR="00000000" w:rsidDel="00000000" w:rsidP="00000000" w:rsidRDefault="00000000" w:rsidRPr="00000000" w14:paraId="00000022">
      <w:pPr>
        <w:ind w:right="-937"/>
        <w:contextualSpacing w:val="0"/>
        <w:jc w:val="center"/>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23">
      <w:pPr>
        <w:ind w:right="-937"/>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PREFECT</w:t>
      </w:r>
      <w:r w:rsidDel="00000000" w:rsidR="00000000" w:rsidRPr="00000000">
        <w:rPr>
          <w:rtl w:val="0"/>
        </w:rPr>
      </w:r>
    </w:p>
    <w:p w:rsidR="00000000" w:rsidDel="00000000" w:rsidP="00000000" w:rsidRDefault="00000000" w:rsidRPr="00000000" w14:paraId="00000024">
      <w:pPr>
        <w:ind w:right="-937"/>
        <w:contextualSpacing w:val="0"/>
        <w:jc w:val="center"/>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25">
      <w:pPr>
        <w:ind w:right="-937"/>
        <w:contextualSpacing w:val="0"/>
        <w:jc w:val="center"/>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26">
      <w:pPr>
        <w:ind w:right="-937"/>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SILVIU-IULIAN COȘA</w:t>
      </w:r>
      <w:r w:rsidDel="00000000" w:rsidR="00000000" w:rsidRPr="00000000">
        <w:rPr>
          <w:rtl w:val="0"/>
        </w:rPr>
      </w:r>
    </w:p>
    <w:p w:rsidR="00000000" w:rsidDel="00000000" w:rsidP="00000000" w:rsidRDefault="00000000" w:rsidRPr="00000000" w14:paraId="00000027">
      <w:pPr>
        <w:ind w:right="-937"/>
        <w:contextualSpacing w:val="0"/>
        <w:jc w:val="center"/>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28">
      <w:pPr>
        <w:ind w:right="-937" w:firstLine="720"/>
        <w:contextualSpacing w:val="0"/>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Vicepreședinte CJSU</w:t>
        <w:tab/>
        <w:tab/>
        <w:tab/>
        <w:tab/>
        <w:t xml:space="preserve">                 Vicepreședinte CJSU</w:t>
      </w:r>
      <w:r w:rsidDel="00000000" w:rsidR="00000000" w:rsidRPr="00000000">
        <w:rPr>
          <w:rtl w:val="0"/>
        </w:rPr>
      </w:r>
    </w:p>
    <w:p w:rsidR="00000000" w:rsidDel="00000000" w:rsidP="00000000" w:rsidRDefault="00000000" w:rsidRPr="00000000" w14:paraId="00000029">
      <w:pPr>
        <w:ind w:right="-937"/>
        <w:contextualSpacing w:val="0"/>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    Consiliul Județean Constanța</w:t>
        <w:tab/>
        <w:tab/>
        <w:tab/>
        <w:t xml:space="preserve">    Inspectoratul pentru Situații de Urgență </w:t>
      </w:r>
      <w:r w:rsidDel="00000000" w:rsidR="00000000" w:rsidRPr="00000000">
        <w:rPr>
          <w:rtl w:val="0"/>
        </w:rPr>
      </w:r>
    </w:p>
    <w:p w:rsidR="00000000" w:rsidDel="00000000" w:rsidP="00000000" w:rsidRDefault="00000000" w:rsidRPr="00000000" w14:paraId="0000002A">
      <w:pPr>
        <w:ind w:right="-937" w:firstLine="720"/>
        <w:contextualSpacing w:val="0"/>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ab/>
        <w:tab/>
        <w:tab/>
        <w:tab/>
        <w:tab/>
        <w:tab/>
        <w:t xml:space="preserve">         ”Dobrogea” al județului Constanța</w:t>
      </w:r>
      <w:r w:rsidDel="00000000" w:rsidR="00000000" w:rsidRPr="00000000">
        <w:rPr>
          <w:rtl w:val="0"/>
        </w:rPr>
      </w:r>
    </w:p>
    <w:p w:rsidR="00000000" w:rsidDel="00000000" w:rsidP="00000000" w:rsidRDefault="00000000" w:rsidRPr="00000000" w14:paraId="0000002B">
      <w:pPr>
        <w:ind w:right="-937"/>
        <w:contextualSpacing w:val="0"/>
        <w:jc w:val="both"/>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          Președinte, Mihai Lupu </w:t>
        <w:tab/>
        <w:tab/>
        <w:t xml:space="preserve">   Împuternicit Inspector șef, Mihail – Cristian Amarandei</w:t>
      </w:r>
      <w:r w:rsidDel="00000000" w:rsidR="00000000" w:rsidRPr="00000000">
        <w:rPr>
          <w:rtl w:val="0"/>
        </w:rPr>
      </w:r>
    </w:p>
    <w:p w:rsidR="00000000" w:rsidDel="00000000" w:rsidP="00000000" w:rsidRDefault="00000000" w:rsidRPr="00000000" w14:paraId="0000002C">
      <w:pPr>
        <w:ind w:right="-937"/>
        <w:contextualSpacing w:val="0"/>
        <w:jc w:val="both"/>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2D">
      <w:pPr>
        <w:ind w:right="-937"/>
        <w:contextualSpacing w:val="0"/>
        <w:jc w:val="both"/>
        <w:rPr>
          <w:rFonts w:ascii="Tahoma" w:cs="Tahoma" w:eastAsia="Tahoma" w:hAnsi="Tahoma"/>
          <w:b w:val="0"/>
          <w:sz w:val="10"/>
          <w:szCs w:val="10"/>
          <w:vertAlign w:val="baseline"/>
        </w:rPr>
      </w:pPr>
      <w:r w:rsidDel="00000000" w:rsidR="00000000" w:rsidRPr="00000000">
        <w:rPr>
          <w:rtl w:val="0"/>
        </w:rPr>
      </w:r>
    </w:p>
    <w:p w:rsidR="00000000" w:rsidDel="00000000" w:rsidP="00000000" w:rsidRDefault="00000000" w:rsidRPr="00000000" w14:paraId="0000002E">
      <w:pPr>
        <w:ind w:right="-937"/>
        <w:contextualSpacing w:val="0"/>
        <w:jc w:val="both"/>
        <w:rPr>
          <w:rFonts w:ascii="Tahoma" w:cs="Tahoma" w:eastAsia="Tahoma" w:hAnsi="Tahoma"/>
          <w:b w:val="0"/>
          <w:smallCaps w:val="0"/>
          <w:vertAlign w:val="baseline"/>
        </w:rPr>
      </w:pPr>
      <w:r w:rsidDel="00000000" w:rsidR="00000000" w:rsidRPr="00000000">
        <w:rPr>
          <w:rFonts w:ascii="Tahoma" w:cs="Tahoma" w:eastAsia="Tahoma" w:hAnsi="Tahoma"/>
          <w:b w:val="1"/>
          <w:smallCaps w:val="1"/>
          <w:vertAlign w:val="baseline"/>
          <w:rtl w:val="0"/>
        </w:rPr>
        <w:t xml:space="preserve">      </w:t>
      </w:r>
      <w:r w:rsidDel="00000000" w:rsidR="00000000" w:rsidRPr="00000000">
        <w:rPr>
          <w:rFonts w:ascii="Tahoma" w:cs="Tahoma" w:eastAsia="Tahoma" w:hAnsi="Tahoma"/>
          <w:b w:val="1"/>
          <w:smallCaps w:val="1"/>
          <w:color w:val="ff0000"/>
          <w:vertAlign w:val="baseline"/>
          <w:rtl w:val="0"/>
        </w:rPr>
        <w:t xml:space="preserve"> </w:t>
      </w:r>
      <w:r w:rsidDel="00000000" w:rsidR="00000000" w:rsidRPr="00000000">
        <w:rPr>
          <w:rFonts w:ascii="Tahoma" w:cs="Tahoma" w:eastAsia="Tahoma" w:hAnsi="Tahoma"/>
          <w:b w:val="1"/>
          <w:smallCaps w:val="1"/>
          <w:vertAlign w:val="baseline"/>
          <w:rtl w:val="0"/>
        </w:rPr>
        <w:t xml:space="preserve">NR. 59</w:t>
      </w:r>
      <w:r w:rsidDel="00000000" w:rsidR="00000000" w:rsidRPr="00000000">
        <w:rPr>
          <w:rFonts w:ascii="Tahoma" w:cs="Tahoma" w:eastAsia="Tahoma" w:hAnsi="Tahoma"/>
          <w:b w:val="1"/>
          <w:vertAlign w:val="baseline"/>
          <w:rtl w:val="0"/>
        </w:rPr>
        <w:tab/>
        <w:tab/>
        <w:t xml:space="preserve">                                                                              C</w:t>
      </w:r>
      <w:r w:rsidDel="00000000" w:rsidR="00000000" w:rsidRPr="00000000">
        <w:rPr>
          <w:rFonts w:ascii="Tahoma" w:cs="Tahoma" w:eastAsia="Tahoma" w:hAnsi="Tahoma"/>
          <w:b w:val="1"/>
          <w:smallCaps w:val="1"/>
          <w:vertAlign w:val="baseline"/>
          <w:rtl w:val="0"/>
        </w:rPr>
        <w:t xml:space="preserve">ONSTANŢA   15.04.2021</w:t>
      </w:r>
      <w:r w:rsidDel="00000000" w:rsidR="00000000" w:rsidRPr="00000000">
        <w:rPr>
          <w:rtl w:val="0"/>
        </w:rPr>
      </w:r>
    </w:p>
    <w:sectPr>
      <w:headerReference r:id="rId7" w:type="default"/>
      <w:headerReference r:id="rId8" w:type="first"/>
      <w:headerReference r:id="rId9" w:type="even"/>
      <w:footerReference r:id="rId10" w:type="default"/>
      <w:pgSz w:h="16840" w:w="11907"/>
      <w:pgMar w:bottom="90" w:top="170" w:left="1170" w:right="1418" w:header="176"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1"/>
        <w:smallCaps w:val="0"/>
        <w:strike w:val="0"/>
        <w:color w:val="000000"/>
        <w:sz w:val="16"/>
        <w:szCs w:val="16"/>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ahoma" w:cs="Tahoma" w:eastAsia="Tahoma" w:hAnsi="Tahoma"/>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ro-RO"/>
    </w:rPr>
  </w:style>
  <w:style w:type="paragraph" w:styleId="Titlu1">
    <w:name w:val="Titlu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ro-RO"/>
    </w:rPr>
  </w:style>
  <w:style w:type="paragraph" w:styleId="Titlu3">
    <w:name w:val="Titlu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ro-RO"/>
    </w:rPr>
  </w:style>
  <w:style w:type="character" w:styleId="Fontdeparagrafimplicit">
    <w:name w:val="Font de paragraf implicit"/>
    <w:next w:val="Fontdeparagrafimplicit"/>
    <w:autoRedefine w:val="0"/>
    <w:hidden w:val="0"/>
    <w:qFormat w:val="0"/>
    <w:rPr>
      <w:w w:val="100"/>
      <w:position w:val="-1"/>
      <w:effect w:val="none"/>
      <w:vertAlign w:val="baseline"/>
      <w:cs w:val="0"/>
      <w:em w:val="none"/>
      <w:lang/>
    </w:rPr>
  </w:style>
  <w:style w:type="table" w:styleId="TabelNormal">
    <w:name w:val="Tabel Normal"/>
    <w:next w:val="Tabe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FărăListare">
    <w:name w:val="Fără Listare"/>
    <w:next w:val="FărăListare"/>
    <w:autoRedefine w:val="0"/>
    <w:hidden w:val="0"/>
    <w:qFormat w:val="0"/>
    <w:pPr>
      <w:suppressAutoHyphens w:val="1"/>
      <w:spacing w:line="1" w:lineRule="atLeast"/>
      <w:ind w:leftChars="-1" w:rightChars="0" w:firstLineChars="-1"/>
      <w:textDirection w:val="btLr"/>
      <w:textAlignment w:val="top"/>
      <w:outlineLvl w:val="0"/>
    </w:pPr>
  </w:style>
  <w:style w:type="paragraph" w:styleId="Subsol,Char">
    <w:name w:val="Subsol, Char"/>
    <w:basedOn w:val="Normal"/>
    <w:next w:val="Subsol,Cha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ro-RO"/>
    </w:rPr>
  </w:style>
  <w:style w:type="character" w:styleId="SubsolCaracter,CharCaracter">
    <w:name w:val="Subsol Caracter, Char Caracter"/>
    <w:next w:val="SubsolCaracter,CharCaracter"/>
    <w:autoRedefine w:val="0"/>
    <w:hidden w:val="0"/>
    <w:qFormat w:val="0"/>
    <w:rPr>
      <w:w w:val="100"/>
      <w:position w:val="-1"/>
      <w:effect w:val="none"/>
      <w:vertAlign w:val="baseline"/>
      <w:cs w:val="0"/>
      <w:em w:val="none"/>
      <w:lang w:bidi="ar-SA" w:eastAsia="en-US" w:val="en-US"/>
    </w:rPr>
  </w:style>
  <w:style w:type="paragraph" w:styleId="Antet">
    <w:name w:val="Antet"/>
    <w:basedOn w:val="Normal"/>
    <w:next w:val="Antet"/>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ro-RO"/>
    </w:rPr>
  </w:style>
  <w:style w:type="paragraph" w:styleId="TextînBalon">
    <w:name w:val="Text în Balon"/>
    <w:basedOn w:val="Normal"/>
    <w:next w:val="TextînBalon"/>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ro-RO"/>
    </w:rPr>
  </w:style>
  <w:style w:type="character" w:styleId="TextînBalonCaracter">
    <w:name w:val="Text în Balon Caracter"/>
    <w:next w:val="TextînBalonCaracter"/>
    <w:autoRedefine w:val="0"/>
    <w:hidden w:val="0"/>
    <w:qFormat w:val="0"/>
    <w:rPr>
      <w:rFonts w:ascii="Segoe UI" w:cs="Segoe UI" w:hAnsi="Segoe UI"/>
      <w:w w:val="100"/>
      <w:position w:val="-1"/>
      <w:sz w:val="18"/>
      <w:szCs w:val="18"/>
      <w:effect w:val="none"/>
      <w:vertAlign w:val="baseline"/>
      <w:cs w:val="0"/>
      <w:em w:val="none"/>
      <w:lang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econcentrate@prefecturaconstanta.ro"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