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3658"/>
      </w:tblGrid>
      <w:tr w:rsidR="00692C8B" w:rsidRPr="00DA31AD" w:rsidTr="00006B01">
        <w:tc>
          <w:tcPr>
            <w:tcW w:w="5665" w:type="dxa"/>
          </w:tcPr>
          <w:p w:rsidR="00692C8B" w:rsidRPr="006007D3" w:rsidRDefault="009A2AA2" w:rsidP="009A2AA2">
            <w:pPr>
              <w:rPr>
                <w:i/>
                <w:sz w:val="24"/>
                <w:szCs w:val="32"/>
              </w:rPr>
            </w:pPr>
            <w:r w:rsidRPr="006007D3">
              <w:rPr>
                <w:i/>
                <w:sz w:val="24"/>
                <w:szCs w:val="32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Pr="00DA31AD" w:rsidRDefault="00320F78" w:rsidP="009C566A">
            <w:pPr>
              <w:jc w:val="center"/>
              <w:rPr>
                <w:sz w:val="32"/>
                <w:szCs w:val="32"/>
              </w:rPr>
            </w:pPr>
            <w:r w:rsidRPr="006007D3">
              <w:rPr>
                <w:sz w:val="24"/>
                <w:szCs w:val="32"/>
              </w:rPr>
              <w:t>18/10</w:t>
            </w:r>
            <w:r w:rsidR="001A35DF" w:rsidRPr="006007D3">
              <w:rPr>
                <w:sz w:val="24"/>
                <w:szCs w:val="32"/>
              </w:rPr>
              <w:t>/201</w:t>
            </w:r>
            <w:r w:rsidR="009C566A" w:rsidRPr="006007D3">
              <w:rPr>
                <w:sz w:val="24"/>
                <w:szCs w:val="32"/>
              </w:rPr>
              <w:t>8</w:t>
            </w:r>
          </w:p>
        </w:tc>
      </w:tr>
      <w:tr w:rsidR="00692C8B" w:rsidRPr="00DA31AD" w:rsidTr="00006B01">
        <w:tc>
          <w:tcPr>
            <w:tcW w:w="5665" w:type="dxa"/>
          </w:tcPr>
          <w:p w:rsidR="006D26A4" w:rsidRPr="006007D3" w:rsidRDefault="006D26A4" w:rsidP="00006B01">
            <w:pPr>
              <w:rPr>
                <w:sz w:val="24"/>
                <w:szCs w:val="32"/>
              </w:rPr>
            </w:pPr>
            <w:r w:rsidRPr="006007D3">
              <w:rPr>
                <w:sz w:val="24"/>
                <w:szCs w:val="32"/>
              </w:rPr>
              <w:t>Operator date nr. 4472</w:t>
            </w:r>
          </w:p>
          <w:p w:rsidR="00006B01" w:rsidRPr="006007D3" w:rsidRDefault="005042A5" w:rsidP="00006B01">
            <w:pPr>
              <w:rPr>
                <w:sz w:val="24"/>
                <w:szCs w:val="32"/>
              </w:rPr>
            </w:pPr>
            <w:r w:rsidRPr="006007D3">
              <w:rPr>
                <w:sz w:val="24"/>
                <w:szCs w:val="32"/>
              </w:rPr>
              <w:t>Nr.</w:t>
            </w:r>
            <w:r w:rsidR="006007D3">
              <w:rPr>
                <w:sz w:val="24"/>
                <w:szCs w:val="32"/>
              </w:rPr>
              <w:t>770</w:t>
            </w:r>
            <w:bookmarkStart w:id="0" w:name="_GoBack"/>
            <w:bookmarkEnd w:id="0"/>
            <w:r w:rsidR="000C2BB4" w:rsidRPr="006007D3">
              <w:rPr>
                <w:sz w:val="24"/>
                <w:szCs w:val="32"/>
              </w:rPr>
              <w:t>/VIII/3</w:t>
            </w:r>
          </w:p>
          <w:p w:rsidR="000F3AC3" w:rsidRPr="006007D3" w:rsidRDefault="000F3AC3" w:rsidP="00006B01">
            <w:pPr>
              <w:rPr>
                <w:sz w:val="24"/>
                <w:szCs w:val="32"/>
              </w:rPr>
            </w:pPr>
          </w:p>
        </w:tc>
        <w:tc>
          <w:tcPr>
            <w:tcW w:w="3658" w:type="dxa"/>
          </w:tcPr>
          <w:p w:rsidR="00692C8B" w:rsidRPr="00DA31AD" w:rsidRDefault="00692C8B" w:rsidP="008D79CE">
            <w:pPr>
              <w:jc w:val="center"/>
              <w:rPr>
                <w:sz w:val="32"/>
                <w:szCs w:val="32"/>
              </w:rPr>
            </w:pPr>
          </w:p>
        </w:tc>
      </w:tr>
    </w:tbl>
    <w:p w:rsidR="006A059E" w:rsidRDefault="006A059E" w:rsidP="006A059E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r w:rsidRPr="00DA31AD">
        <w:rPr>
          <w:b/>
          <w:sz w:val="32"/>
          <w:szCs w:val="32"/>
        </w:rPr>
        <w:t>COMUNICAT</w:t>
      </w:r>
    </w:p>
    <w:p w:rsidR="006007D3" w:rsidRPr="00DA31AD" w:rsidRDefault="006007D3" w:rsidP="006A059E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D34850" w:rsidRPr="00DA31AD" w:rsidRDefault="006A059E" w:rsidP="00A7722E">
      <w:pPr>
        <w:tabs>
          <w:tab w:val="left" w:pos="900"/>
        </w:tabs>
        <w:spacing w:after="0" w:line="240" w:lineRule="auto"/>
        <w:ind w:firstLine="360"/>
        <w:jc w:val="both"/>
        <w:rPr>
          <w:rStyle w:val="tab1"/>
          <w:rFonts w:cs="Times New Roman"/>
          <w:sz w:val="32"/>
          <w:szCs w:val="32"/>
        </w:rPr>
      </w:pPr>
      <w:r w:rsidRPr="00DA31AD">
        <w:rPr>
          <w:sz w:val="32"/>
          <w:szCs w:val="32"/>
        </w:rPr>
        <w:tab/>
      </w:r>
      <w:r w:rsidRPr="00DA31AD">
        <w:rPr>
          <w:rFonts w:cs="Times New Roman"/>
          <w:sz w:val="32"/>
          <w:szCs w:val="32"/>
        </w:rPr>
        <w:t>P</w:t>
      </w:r>
      <w:r w:rsidRPr="00DA31AD">
        <w:rPr>
          <w:rStyle w:val="tab1"/>
          <w:rFonts w:cs="Times New Roman"/>
          <w:sz w:val="32"/>
          <w:szCs w:val="32"/>
        </w:rPr>
        <w:t xml:space="preserve">rocurorii din cadrul Direcţiei Naţionale Anticorupţie – </w:t>
      </w:r>
      <w:r w:rsidR="009C566A" w:rsidRPr="00DA31AD">
        <w:rPr>
          <w:rStyle w:val="tab1"/>
          <w:rFonts w:cs="Times New Roman"/>
          <w:sz w:val="32"/>
          <w:szCs w:val="32"/>
        </w:rPr>
        <w:t xml:space="preserve">Serviciul Teritorial </w:t>
      </w:r>
      <w:r w:rsidR="00EB5FAE" w:rsidRPr="00DA31AD">
        <w:rPr>
          <w:rStyle w:val="tab1"/>
          <w:rFonts w:cs="Times New Roman"/>
          <w:sz w:val="32"/>
          <w:szCs w:val="32"/>
        </w:rPr>
        <w:t>Timișoara</w:t>
      </w:r>
      <w:r w:rsidR="00FF00C0" w:rsidRPr="00DA31AD">
        <w:rPr>
          <w:rStyle w:val="tab1"/>
          <w:rFonts w:cs="Times New Roman"/>
          <w:sz w:val="32"/>
          <w:szCs w:val="32"/>
        </w:rPr>
        <w:t xml:space="preserve">au dispus punerea în mișcare a acțiunii penale </w:t>
      </w:r>
      <w:r w:rsidRPr="00DA31AD">
        <w:rPr>
          <w:rStyle w:val="tab1"/>
          <w:rFonts w:cs="Times New Roman"/>
          <w:sz w:val="32"/>
          <w:szCs w:val="32"/>
        </w:rPr>
        <w:t xml:space="preserve">şi reţinerea pentru 24 de ore, începând cu data de </w:t>
      </w:r>
      <w:r w:rsidR="00063B95" w:rsidRPr="00DA31AD">
        <w:rPr>
          <w:rStyle w:val="tab1"/>
          <w:rFonts w:cs="Times New Roman"/>
          <w:sz w:val="32"/>
          <w:szCs w:val="32"/>
        </w:rPr>
        <w:t>18octombrie</w:t>
      </w:r>
      <w:r w:rsidR="00D34850" w:rsidRPr="00DA31AD">
        <w:rPr>
          <w:rStyle w:val="tab1"/>
          <w:rFonts w:cs="Times New Roman"/>
          <w:sz w:val="32"/>
          <w:szCs w:val="32"/>
        </w:rPr>
        <w:t xml:space="preserve"> 201</w:t>
      </w:r>
      <w:r w:rsidR="00063B95" w:rsidRPr="00DA31AD">
        <w:rPr>
          <w:rStyle w:val="tab1"/>
          <w:rFonts w:cs="Times New Roman"/>
          <w:sz w:val="32"/>
          <w:szCs w:val="32"/>
        </w:rPr>
        <w:t>8, a inculpatului</w:t>
      </w:r>
    </w:p>
    <w:p w:rsidR="00063B95" w:rsidRPr="00DA31AD" w:rsidRDefault="00063B95" w:rsidP="00A7722E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DA31AD">
        <w:rPr>
          <w:rFonts w:cs="Times New Roman"/>
          <w:b/>
          <w:sz w:val="32"/>
          <w:szCs w:val="32"/>
        </w:rPr>
        <w:t>POȘIAR EUGEN SILVIU</w:t>
      </w:r>
      <w:r w:rsidRPr="00DA31AD">
        <w:rPr>
          <w:rFonts w:cs="Times New Roman"/>
          <w:sz w:val="32"/>
          <w:szCs w:val="32"/>
        </w:rPr>
        <w:t xml:space="preserve">, medic primar, șeful Secției Medicină Internă din cadrul Spitalului Clinic Militar de Urgență </w:t>
      </w:r>
      <w:r w:rsidR="00320F78">
        <w:rPr>
          <w:rFonts w:cs="Times New Roman"/>
          <w:sz w:val="32"/>
          <w:szCs w:val="32"/>
        </w:rPr>
        <w:t>Timișoara(</w:t>
      </w:r>
      <w:r w:rsidRPr="00DA31AD">
        <w:rPr>
          <w:rFonts w:cs="Times New Roman"/>
          <w:sz w:val="32"/>
          <w:szCs w:val="32"/>
        </w:rPr>
        <w:t>angajat ca personal contractual civil</w:t>
      </w:r>
      <w:r w:rsidR="00320F78">
        <w:rPr>
          <w:rFonts w:cs="Times New Roman"/>
          <w:sz w:val="32"/>
          <w:szCs w:val="32"/>
        </w:rPr>
        <w:t>)</w:t>
      </w:r>
      <w:r w:rsidR="0017659E" w:rsidRPr="00DA31AD">
        <w:rPr>
          <w:rFonts w:cs="Times New Roman"/>
          <w:iCs/>
          <w:sz w:val="32"/>
          <w:szCs w:val="32"/>
        </w:rPr>
        <w:t xml:space="preserve">, </w:t>
      </w:r>
      <w:r w:rsidR="0017659E" w:rsidRPr="00DA31AD">
        <w:rPr>
          <w:rFonts w:cs="Times New Roman"/>
          <w:sz w:val="32"/>
          <w:szCs w:val="32"/>
        </w:rPr>
        <w:t>sub as</w:t>
      </w:r>
      <w:r w:rsidRPr="00DA31AD">
        <w:rPr>
          <w:rFonts w:cs="Times New Roman"/>
          <w:sz w:val="32"/>
          <w:szCs w:val="32"/>
        </w:rPr>
        <w:t>pectul săvârșirii infracțiunilor de:</w:t>
      </w:r>
    </w:p>
    <w:p w:rsidR="0017659E" w:rsidRPr="00DA31AD" w:rsidRDefault="00063B95" w:rsidP="00A7722E">
      <w:pPr>
        <w:spacing w:after="0" w:line="240" w:lineRule="auto"/>
        <w:ind w:firstLine="720"/>
        <w:jc w:val="both"/>
        <w:rPr>
          <w:rFonts w:cs="Times New Roman"/>
          <w:b/>
          <w:sz w:val="32"/>
          <w:szCs w:val="32"/>
        </w:rPr>
      </w:pPr>
      <w:r w:rsidRPr="00DA31AD">
        <w:rPr>
          <w:rFonts w:cs="Times New Roman"/>
          <w:sz w:val="32"/>
          <w:szCs w:val="32"/>
        </w:rPr>
        <w:t>-</w:t>
      </w:r>
      <w:r w:rsidR="00EB5FAE" w:rsidRPr="00DA31AD">
        <w:rPr>
          <w:rFonts w:cs="Times New Roman"/>
          <w:b/>
          <w:sz w:val="32"/>
          <w:szCs w:val="32"/>
        </w:rPr>
        <w:t>luare de mită</w:t>
      </w:r>
      <w:r w:rsidRPr="00DA31AD">
        <w:rPr>
          <w:rFonts w:cs="Times New Roman"/>
          <w:b/>
          <w:sz w:val="32"/>
          <w:szCs w:val="32"/>
        </w:rPr>
        <w:t xml:space="preserve"> (2 fapte),</w:t>
      </w:r>
    </w:p>
    <w:p w:rsidR="00063B95" w:rsidRPr="00DA31AD" w:rsidRDefault="00063B95" w:rsidP="00A7722E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DA31AD">
        <w:rPr>
          <w:rFonts w:cs="Times New Roman"/>
          <w:b/>
          <w:sz w:val="32"/>
          <w:szCs w:val="32"/>
        </w:rPr>
        <w:t>- trafic de influență (2 fapte).</w:t>
      </w:r>
    </w:p>
    <w:p w:rsidR="00BA73B8" w:rsidRPr="00DA31AD" w:rsidRDefault="006609BD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  <w:r w:rsidRPr="00DA31AD">
        <w:rPr>
          <w:rStyle w:val="tab1"/>
          <w:sz w:val="32"/>
          <w:szCs w:val="32"/>
        </w:rPr>
        <w:t>În ordonanţ</w:t>
      </w:r>
      <w:r w:rsidR="00283FD8" w:rsidRPr="00DA31AD">
        <w:rPr>
          <w:rStyle w:val="tab1"/>
          <w:sz w:val="32"/>
          <w:szCs w:val="32"/>
        </w:rPr>
        <w:t>a</w:t>
      </w:r>
      <w:r w:rsidR="006A059E" w:rsidRPr="00DA31AD">
        <w:rPr>
          <w:rStyle w:val="tab1"/>
          <w:sz w:val="32"/>
          <w:szCs w:val="32"/>
        </w:rPr>
        <w:t xml:space="preserve"> procurorilor se arată că, în cauză, există date și probe care conturează următoarea stare de fapt:</w:t>
      </w:r>
    </w:p>
    <w:p w:rsidR="004828A0" w:rsidRPr="00DA31AD" w:rsidRDefault="00B57FDA" w:rsidP="00A7722E">
      <w:pPr>
        <w:widowControl w:val="0"/>
        <w:spacing w:after="0" w:line="240" w:lineRule="auto"/>
        <w:ind w:firstLine="640"/>
        <w:contextualSpacing/>
        <w:jc w:val="both"/>
        <w:rPr>
          <w:rFonts w:eastAsia="Arial Unicode MS" w:cs="Times New Roman"/>
          <w:color w:val="000000"/>
          <w:sz w:val="32"/>
          <w:szCs w:val="32"/>
          <w:lang w:eastAsia="ro-RO" w:bidi="ro-RO"/>
        </w:rPr>
      </w:pP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Începând cu luna </w:t>
      </w:r>
      <w:r w:rsidR="001B02F1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noiembrie </w:t>
      </w: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201</w:t>
      </w:r>
      <w:r w:rsidR="001B02F1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6</w:t>
      </w: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, </w:t>
      </w:r>
      <w:r w:rsidR="001B02F1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în rândul personalului Penitenciarului Arad s-au intensificat preocupările legate de încetarea raporturilor de serviciu prin pensionare medicală </w:t>
      </w:r>
      <w:r w:rsidR="004828A0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(pensia fiind aproximati</w:t>
      </w:r>
      <w:r w:rsidR="00A7722E">
        <w:rPr>
          <w:rFonts w:eastAsia="Arial Unicode MS" w:cs="Times New Roman"/>
          <w:color w:val="000000"/>
          <w:sz w:val="32"/>
          <w:szCs w:val="32"/>
          <w:lang w:eastAsia="ro-RO" w:bidi="ro-RO"/>
        </w:rPr>
        <w:t>v egală cu venitul salarial</w:t>
      </w:r>
      <w:r w:rsidR="004828A0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)</w:t>
      </w:r>
      <w:r w:rsidR="001B02F1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.</w:t>
      </w:r>
    </w:p>
    <w:p w:rsidR="000821C5" w:rsidRPr="00DA31AD" w:rsidRDefault="004828A0" w:rsidP="00A7722E">
      <w:pPr>
        <w:widowControl w:val="0"/>
        <w:spacing w:after="0" w:line="240" w:lineRule="auto"/>
        <w:ind w:firstLine="640"/>
        <w:contextualSpacing/>
        <w:jc w:val="both"/>
        <w:rPr>
          <w:rFonts w:eastAsia="Arial Unicode MS" w:cs="Times New Roman"/>
          <w:color w:val="000000"/>
          <w:sz w:val="32"/>
          <w:szCs w:val="32"/>
          <w:lang w:eastAsia="ro-RO" w:bidi="ro-RO"/>
        </w:rPr>
      </w:pP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Concret, în schimbul unor sume de bani, persoanele </w:t>
      </w:r>
      <w:r w:rsidR="001B02F1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doritoare</w:t>
      </w: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 să se pensioneze</w:t>
      </w:r>
      <w:r w:rsidR="000821C5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 în această modalitate</w:t>
      </w: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 apelau la medicul Poșiar Eugen Silviu</w:t>
      </w:r>
      <w:r w:rsidR="000821C5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, care:</w:t>
      </w:r>
    </w:p>
    <w:p w:rsidR="00D638E2" w:rsidRPr="00DA31AD" w:rsidRDefault="000821C5" w:rsidP="00A7722E">
      <w:pPr>
        <w:widowControl w:val="0"/>
        <w:spacing w:after="0" w:line="240" w:lineRule="auto"/>
        <w:ind w:firstLine="640"/>
        <w:contextualSpacing/>
        <w:jc w:val="both"/>
        <w:rPr>
          <w:rFonts w:eastAsia="Arial Unicode MS" w:cs="Times New Roman"/>
          <w:color w:val="000000"/>
          <w:sz w:val="32"/>
          <w:szCs w:val="32"/>
          <w:lang w:eastAsia="ro-RO" w:bidi="ro-RO"/>
        </w:rPr>
      </w:pP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- în situația în care nu identifica afecțiuni ce puteau reprezenta un impediment în desfășurarea activității profesionale a „solicitanților</w:t>
      </w:r>
      <w:r w:rsidRPr="00DA31AD">
        <w:rPr>
          <w:rFonts w:eastAsia="Arial Unicode MS" w:cs="Times New Roman"/>
          <w:color w:val="000000"/>
          <w:sz w:val="32"/>
          <w:szCs w:val="32"/>
          <w:lang w:val="en-US" w:eastAsia="ro-RO" w:bidi="ro-RO"/>
        </w:rPr>
        <w:t>”</w:t>
      </w: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, proceda la stabilirea unui diagnostic nereal (afecțiuni cardiace despre care afirma că nu pot fi stabilite cu exactitate pe fondul lipsei unei aparaturi performante, probleme pulmonare ori alte afecțiuni grave),</w:t>
      </w:r>
    </w:p>
    <w:p w:rsidR="000821C5" w:rsidRPr="00DA31AD" w:rsidRDefault="000821C5" w:rsidP="00A7722E">
      <w:pPr>
        <w:widowControl w:val="0"/>
        <w:spacing w:after="0" w:line="240" w:lineRule="auto"/>
        <w:ind w:firstLine="640"/>
        <w:contextualSpacing/>
        <w:jc w:val="both"/>
        <w:rPr>
          <w:rFonts w:eastAsia="Arial Unicode MS" w:cs="Times New Roman"/>
          <w:color w:val="000000"/>
          <w:sz w:val="32"/>
          <w:szCs w:val="32"/>
          <w:lang w:eastAsia="ro-RO" w:bidi="ro-RO"/>
        </w:rPr>
      </w:pP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- acorda concedii medicale pe care le prelungea până la limita a 90 de zile,</w:t>
      </w:r>
    </w:p>
    <w:p w:rsidR="000821C5" w:rsidRDefault="000821C5" w:rsidP="00A7722E">
      <w:pPr>
        <w:widowControl w:val="0"/>
        <w:spacing w:after="0" w:line="240" w:lineRule="auto"/>
        <w:ind w:firstLine="640"/>
        <w:contextualSpacing/>
        <w:jc w:val="both"/>
        <w:rPr>
          <w:rFonts w:eastAsia="Arial Unicode MS" w:cs="Times New Roman"/>
          <w:color w:val="000000"/>
          <w:sz w:val="32"/>
          <w:szCs w:val="32"/>
          <w:lang w:eastAsia="ro-RO" w:bidi="ro-RO"/>
        </w:rPr>
      </w:pP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- întocmea actele necesare programării în fața comisiei de specialitate.</w:t>
      </w:r>
    </w:p>
    <w:p w:rsidR="00806E64" w:rsidRPr="00DA31AD" w:rsidRDefault="00806E64" w:rsidP="00A7722E">
      <w:pPr>
        <w:widowControl w:val="0"/>
        <w:spacing w:after="0" w:line="240" w:lineRule="auto"/>
        <w:ind w:firstLine="640"/>
        <w:contextualSpacing/>
        <w:jc w:val="both"/>
        <w:rPr>
          <w:rFonts w:eastAsia="Arial Unicode MS" w:cs="Times New Roman"/>
          <w:color w:val="000000"/>
          <w:sz w:val="32"/>
          <w:szCs w:val="32"/>
          <w:lang w:eastAsia="ro-RO" w:bidi="ro-RO"/>
        </w:rPr>
      </w:pPr>
      <w:r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Ulterior, în baza documentelor puse la dispoziție, membrii comisiei </w:t>
      </w:r>
      <w:r>
        <w:rPr>
          <w:rFonts w:eastAsia="Arial Unicode MS" w:cs="Times New Roman"/>
          <w:color w:val="000000"/>
          <w:sz w:val="32"/>
          <w:szCs w:val="32"/>
          <w:lang w:eastAsia="ro-RO" w:bidi="ro-RO"/>
        </w:rPr>
        <w:lastRenderedPageBreak/>
        <w:t xml:space="preserve">declarau persoanele respective </w:t>
      </w:r>
      <w:r w:rsidRPr="00806E64">
        <w:rPr>
          <w:rFonts w:eastAsia="Arial Unicode MS" w:cs="Times New Roman"/>
          <w:color w:val="000000"/>
          <w:sz w:val="32"/>
          <w:szCs w:val="32"/>
          <w:lang w:eastAsia="ro-RO" w:bidi="ro-RO"/>
        </w:rPr>
        <w:t>”apt limitat”</w:t>
      </w:r>
      <w:r>
        <w:rPr>
          <w:rFonts w:eastAsia="Arial Unicode MS" w:cs="Times New Roman"/>
          <w:color w:val="000000"/>
          <w:sz w:val="32"/>
          <w:szCs w:val="32"/>
          <w:lang w:eastAsia="ro-RO" w:bidi="ro-RO"/>
        </w:rPr>
        <w:t>, aspect care le permitea acestora să iasă la pensie.</w:t>
      </w:r>
    </w:p>
    <w:p w:rsidR="001B02F1" w:rsidRPr="00DA31AD" w:rsidRDefault="000821C5" w:rsidP="00A7722E">
      <w:pPr>
        <w:widowControl w:val="0"/>
        <w:spacing w:after="559" w:line="240" w:lineRule="auto"/>
        <w:ind w:firstLine="720"/>
        <w:contextualSpacing/>
        <w:jc w:val="both"/>
        <w:rPr>
          <w:rFonts w:eastAsia="Arial Unicode MS" w:cs="Times New Roman"/>
          <w:color w:val="000000"/>
          <w:sz w:val="32"/>
          <w:szCs w:val="32"/>
          <w:lang w:eastAsia="ro-RO" w:bidi="ro-RO"/>
        </w:rPr>
      </w:pP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În modalitatea expusă, </w:t>
      </w:r>
      <w:r w:rsidR="001B02F1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până în prezent,</w:t>
      </w:r>
      <w:r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 au beneficiat de pensionare înainte d</w:t>
      </w:r>
      <w:r w:rsidR="001B02F1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e împlinirea condițiilor legale sau au inițiat demersuri în acest sens un număr de peste 70 persoane</w:t>
      </w:r>
      <w:r w:rsidR="005E15DF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din cadrul </w:t>
      </w:r>
      <w:r w:rsidR="005E15DF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 xml:space="preserve">Penitenciarului Arad </w:t>
      </w:r>
      <w:r w:rsidR="00A7722E">
        <w:rPr>
          <w:rFonts w:eastAsia="Arial Unicode MS" w:cs="Times New Roman"/>
          <w:color w:val="000000"/>
          <w:sz w:val="32"/>
          <w:szCs w:val="32"/>
          <w:lang w:eastAsia="ro-RO" w:bidi="ro-RO"/>
        </w:rPr>
        <w:t>cu vârste cuprinse între 40-48 ani</w:t>
      </w:r>
      <w:r w:rsidR="001B02F1" w:rsidRPr="00DA31AD">
        <w:rPr>
          <w:rFonts w:eastAsia="Arial Unicode MS" w:cs="Times New Roman"/>
          <w:color w:val="000000"/>
          <w:sz w:val="32"/>
          <w:szCs w:val="32"/>
          <w:lang w:eastAsia="ro-RO" w:bidi="ro-RO"/>
        </w:rPr>
        <w:t>.</w:t>
      </w:r>
    </w:p>
    <w:p w:rsidR="008F6386" w:rsidRPr="00DA31AD" w:rsidRDefault="001B02F1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  <w:r w:rsidRPr="00DA31AD">
        <w:rPr>
          <w:rStyle w:val="tab1"/>
          <w:sz w:val="32"/>
          <w:szCs w:val="32"/>
        </w:rPr>
        <w:t>În același</w:t>
      </w:r>
      <w:r w:rsidR="008F6386" w:rsidRPr="00DA31AD">
        <w:rPr>
          <w:rStyle w:val="tab1"/>
          <w:sz w:val="32"/>
          <w:szCs w:val="32"/>
        </w:rPr>
        <w:t xml:space="preserve"> context, </w:t>
      </w:r>
      <w:r w:rsidR="00063B95" w:rsidRPr="00DA31AD">
        <w:rPr>
          <w:rStyle w:val="tab1"/>
          <w:sz w:val="32"/>
          <w:szCs w:val="32"/>
        </w:rPr>
        <w:t>în perioada 26 septembrie – 15 octombrie</w:t>
      </w:r>
      <w:r w:rsidR="00F414FC">
        <w:rPr>
          <w:rStyle w:val="tab1"/>
          <w:sz w:val="32"/>
          <w:szCs w:val="32"/>
        </w:rPr>
        <w:t xml:space="preserve"> 2018</w:t>
      </w:r>
      <w:r w:rsidR="00063B95" w:rsidRPr="00DA31AD">
        <w:rPr>
          <w:rStyle w:val="tab1"/>
          <w:sz w:val="32"/>
          <w:szCs w:val="32"/>
        </w:rPr>
        <w:t>, inculpatulPoșiar Eugen Silviu</w:t>
      </w:r>
      <w:r w:rsidR="000069CB" w:rsidRPr="00DA31AD">
        <w:rPr>
          <w:rStyle w:val="tab1"/>
          <w:sz w:val="32"/>
          <w:szCs w:val="32"/>
        </w:rPr>
        <w:t>, în calitatea menționată mai sus, a primit de la două persoane</w:t>
      </w:r>
      <w:r w:rsidR="008F6386" w:rsidRPr="00DA31AD">
        <w:rPr>
          <w:rStyle w:val="tab1"/>
          <w:sz w:val="32"/>
          <w:szCs w:val="32"/>
        </w:rPr>
        <w:t xml:space="preserve"> sumele de 1.400 de euro și 2.000 lei.</w:t>
      </w:r>
    </w:p>
    <w:p w:rsidR="0052323A" w:rsidRPr="00DA31AD" w:rsidRDefault="008F6386" w:rsidP="00A7722E">
      <w:pPr>
        <w:spacing w:after="0" w:line="240" w:lineRule="auto"/>
        <w:ind w:firstLine="720"/>
        <w:jc w:val="both"/>
        <w:rPr>
          <w:rStyle w:val="tab1"/>
          <w:rFonts w:eastAsia="Times New Roman"/>
          <w:sz w:val="32"/>
          <w:szCs w:val="32"/>
        </w:rPr>
      </w:pPr>
      <w:r w:rsidRPr="00DA31AD">
        <w:rPr>
          <w:rStyle w:val="tab1"/>
          <w:sz w:val="32"/>
          <w:szCs w:val="32"/>
        </w:rPr>
        <w:t xml:space="preserve">De asemenea, </w:t>
      </w:r>
      <w:r w:rsidR="00A24EB7" w:rsidRPr="00DA31AD">
        <w:rPr>
          <w:rStyle w:val="tab1"/>
          <w:sz w:val="32"/>
          <w:szCs w:val="32"/>
        </w:rPr>
        <w:t xml:space="preserve">medicul </w:t>
      </w:r>
      <w:r w:rsidRPr="00DA31AD">
        <w:rPr>
          <w:rStyle w:val="tab1"/>
          <w:sz w:val="32"/>
          <w:szCs w:val="32"/>
        </w:rPr>
        <w:t xml:space="preserve">a </w:t>
      </w:r>
      <w:r w:rsidR="006C43B3">
        <w:rPr>
          <w:rStyle w:val="tab1"/>
          <w:sz w:val="32"/>
          <w:szCs w:val="32"/>
        </w:rPr>
        <w:t xml:space="preserve">mai </w:t>
      </w:r>
      <w:r w:rsidRPr="00DA31AD">
        <w:rPr>
          <w:rStyle w:val="tab1"/>
          <w:sz w:val="32"/>
          <w:szCs w:val="32"/>
        </w:rPr>
        <w:t xml:space="preserve">pretins de la alte două persoane sume neprecizate de bani pentru </w:t>
      </w:r>
      <w:r w:rsidR="002E3ABB" w:rsidRPr="00DA31AD">
        <w:rPr>
          <w:rStyle w:val="tab1"/>
          <w:sz w:val="32"/>
          <w:szCs w:val="32"/>
        </w:rPr>
        <w:t>a-</w:t>
      </w:r>
      <w:r w:rsidR="00DA31AD" w:rsidRPr="00DA31AD">
        <w:rPr>
          <w:rStyle w:val="tab1"/>
          <w:sz w:val="32"/>
          <w:szCs w:val="32"/>
        </w:rPr>
        <w:t xml:space="preserve">idetermina pe membrii comisiei de expertiză din cadrul Spitalului Clinic Militar de Urgență Timișoara </w:t>
      </w:r>
      <w:r w:rsidRPr="00DA31AD">
        <w:rPr>
          <w:rStyle w:val="tab1"/>
          <w:sz w:val="32"/>
          <w:szCs w:val="32"/>
        </w:rPr>
        <w:t xml:space="preserve">să decidă clasarea </w:t>
      </w:r>
      <w:r w:rsidR="00DA31AD" w:rsidRPr="00DA31AD">
        <w:rPr>
          <w:rStyle w:val="tab1"/>
          <w:sz w:val="32"/>
          <w:szCs w:val="32"/>
        </w:rPr>
        <w:t>acestora din motive medicale.</w:t>
      </w:r>
    </w:p>
    <w:p w:rsidR="00DA31AD" w:rsidRPr="00DA31AD" w:rsidRDefault="00DA31AD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</w:p>
    <w:p w:rsidR="00283FD8" w:rsidRPr="00DA31AD" w:rsidRDefault="00283FD8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  <w:r w:rsidRPr="00DA31AD">
        <w:rPr>
          <w:rStyle w:val="tab1"/>
          <w:sz w:val="32"/>
          <w:szCs w:val="32"/>
        </w:rPr>
        <w:t>Inculpat</w:t>
      </w:r>
      <w:r w:rsidR="00063B95" w:rsidRPr="00DA31AD">
        <w:rPr>
          <w:rStyle w:val="tab1"/>
          <w:sz w:val="32"/>
          <w:szCs w:val="32"/>
        </w:rPr>
        <w:t xml:space="preserve">uluiPoșiar Eugen Silviu </w:t>
      </w:r>
      <w:r w:rsidRPr="00DA31AD">
        <w:rPr>
          <w:rStyle w:val="tab1"/>
          <w:sz w:val="32"/>
          <w:szCs w:val="32"/>
        </w:rPr>
        <w:t>i s-au adus la cunoștință calitatea procesuală și acuzațiile, în conformitate cu prevederile art. 309 Cod de procedură penală.</w:t>
      </w:r>
    </w:p>
    <w:p w:rsidR="00283FD8" w:rsidRPr="00E76005" w:rsidRDefault="00283FD8" w:rsidP="00A7722E">
      <w:pPr>
        <w:spacing w:after="0" w:line="240" w:lineRule="auto"/>
        <w:ind w:firstLine="720"/>
        <w:jc w:val="both"/>
        <w:rPr>
          <w:rStyle w:val="tab1"/>
          <w:b/>
          <w:sz w:val="32"/>
          <w:szCs w:val="32"/>
        </w:rPr>
      </w:pPr>
      <w:r w:rsidRPr="00E76005">
        <w:rPr>
          <w:rStyle w:val="tab1"/>
          <w:b/>
          <w:sz w:val="32"/>
          <w:szCs w:val="32"/>
        </w:rPr>
        <w:t xml:space="preserve">La data de </w:t>
      </w:r>
      <w:r w:rsidR="00063B95" w:rsidRPr="00E76005">
        <w:rPr>
          <w:rStyle w:val="tab1"/>
          <w:b/>
          <w:sz w:val="32"/>
          <w:szCs w:val="32"/>
        </w:rPr>
        <w:t>18 octombrie</w:t>
      </w:r>
      <w:r w:rsidR="00EB5FAE" w:rsidRPr="00E76005">
        <w:rPr>
          <w:rStyle w:val="tab1"/>
          <w:b/>
          <w:sz w:val="32"/>
          <w:szCs w:val="32"/>
        </w:rPr>
        <w:t xml:space="preserve"> 2018</w:t>
      </w:r>
      <w:r w:rsidRPr="00E76005">
        <w:rPr>
          <w:rStyle w:val="tab1"/>
          <w:b/>
          <w:sz w:val="32"/>
          <w:szCs w:val="32"/>
        </w:rPr>
        <w:t xml:space="preserve">, </w:t>
      </w:r>
      <w:r w:rsidR="00E76005" w:rsidRPr="00E76005">
        <w:rPr>
          <w:rStyle w:val="tab1"/>
          <w:b/>
          <w:sz w:val="32"/>
          <w:szCs w:val="32"/>
        </w:rPr>
        <w:t>inculpatul</w:t>
      </w:r>
      <w:r w:rsidR="00063B95" w:rsidRPr="00E76005">
        <w:rPr>
          <w:rStyle w:val="tab1"/>
          <w:b/>
          <w:sz w:val="32"/>
          <w:szCs w:val="32"/>
        </w:rPr>
        <w:t xml:space="preserve">Poșiar Eugen Silviu </w:t>
      </w:r>
      <w:r w:rsidR="00732B3A" w:rsidRPr="00E76005">
        <w:rPr>
          <w:rStyle w:val="tab1"/>
          <w:b/>
          <w:sz w:val="32"/>
          <w:szCs w:val="32"/>
        </w:rPr>
        <w:t xml:space="preserve">este </w:t>
      </w:r>
      <w:r w:rsidRPr="00E76005">
        <w:rPr>
          <w:rStyle w:val="tab1"/>
          <w:b/>
          <w:sz w:val="32"/>
          <w:szCs w:val="32"/>
        </w:rPr>
        <w:t xml:space="preserve"> prezentat Tribunalului </w:t>
      </w:r>
      <w:r w:rsidR="00EB5FAE" w:rsidRPr="00E76005">
        <w:rPr>
          <w:rStyle w:val="tab1"/>
          <w:b/>
          <w:sz w:val="32"/>
          <w:szCs w:val="32"/>
        </w:rPr>
        <w:t>Timiș</w:t>
      </w:r>
      <w:r w:rsidRPr="00E76005">
        <w:rPr>
          <w:rStyle w:val="tab1"/>
          <w:b/>
          <w:sz w:val="32"/>
          <w:szCs w:val="32"/>
        </w:rPr>
        <w:t xml:space="preserve"> cu propunere de arestare preventivă pentru 30 de zile.</w:t>
      </w:r>
    </w:p>
    <w:p w:rsidR="006C43B3" w:rsidRPr="00DA31AD" w:rsidRDefault="006C43B3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</w:p>
    <w:p w:rsidR="00DA31AD" w:rsidRPr="00DA31AD" w:rsidRDefault="00DA31AD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  <w:r w:rsidRPr="00DA31AD">
        <w:rPr>
          <w:rStyle w:val="tab1"/>
          <w:sz w:val="32"/>
          <w:szCs w:val="32"/>
        </w:rPr>
        <w:t>În cauză se desfășoară</w:t>
      </w:r>
      <w:r w:rsidR="00D81D92">
        <w:rPr>
          <w:rStyle w:val="tab1"/>
          <w:sz w:val="32"/>
          <w:szCs w:val="32"/>
        </w:rPr>
        <w:t xml:space="preserve"> acte</w:t>
      </w:r>
      <w:r w:rsidRPr="00DA31AD">
        <w:rPr>
          <w:rStyle w:val="tab1"/>
          <w:sz w:val="32"/>
          <w:szCs w:val="32"/>
        </w:rPr>
        <w:t xml:space="preserve"> de urmărire penală și față de alte persoane.</w:t>
      </w:r>
    </w:p>
    <w:p w:rsidR="00DA31AD" w:rsidRPr="00DA31AD" w:rsidRDefault="00DA31AD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</w:p>
    <w:p w:rsidR="00D638E2" w:rsidRPr="00DA31AD" w:rsidRDefault="00DA31AD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  <w:r w:rsidRPr="00DA31AD">
        <w:rPr>
          <w:rStyle w:val="tab1"/>
          <w:sz w:val="32"/>
          <w:szCs w:val="32"/>
        </w:rPr>
        <w:t>În cauză procurorii anticorupție au beneficiat de sprijinul ofițerilor de poliție din cadrul Direcției Generale Anticorupție.</w:t>
      </w:r>
    </w:p>
    <w:p w:rsidR="00DA31AD" w:rsidRPr="00DA31AD" w:rsidRDefault="00DA31AD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</w:p>
    <w:p w:rsidR="006A059E" w:rsidRPr="00DA31AD" w:rsidRDefault="003C1DBA" w:rsidP="00A7722E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  <w:r w:rsidRPr="00DA31AD">
        <w:rPr>
          <w:rStyle w:val="tab1"/>
          <w:sz w:val="32"/>
          <w:szCs w:val="32"/>
        </w:rPr>
        <w:t>F</w:t>
      </w:r>
      <w:r w:rsidR="006A059E" w:rsidRPr="00DA31AD">
        <w:rPr>
          <w:rStyle w:val="tab1"/>
          <w:sz w:val="32"/>
          <w:szCs w:val="32"/>
        </w:rPr>
        <w:t>acem precizarea că punerea în mișcare a acțiunii penale este o etapă a procesului penal reglementată de Codul de procedură penală, având ca scop crearea cadrului procesual de administrare a probatoriului, activitate care nu poate, în nici o situație, să înfrângă principiul prezumției de nevinovăție.</w:t>
      </w:r>
    </w:p>
    <w:p w:rsidR="0052323A" w:rsidRPr="00DA31AD" w:rsidRDefault="0052323A" w:rsidP="0052323A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</w:p>
    <w:p w:rsidR="00692C8B" w:rsidRPr="00DA31AD" w:rsidRDefault="006D7FD2" w:rsidP="00B77A4B">
      <w:pPr>
        <w:spacing w:line="240" w:lineRule="auto"/>
        <w:jc w:val="both"/>
        <w:rPr>
          <w:sz w:val="32"/>
          <w:szCs w:val="32"/>
        </w:rPr>
      </w:pPr>
      <w:r w:rsidRPr="00DA31AD">
        <w:rPr>
          <w:sz w:val="32"/>
          <w:szCs w:val="32"/>
        </w:rPr>
        <w:tab/>
        <w:t>BIROUL DE INFORMARE ŞI RELAŢII PUBLICE</w:t>
      </w:r>
    </w:p>
    <w:sectPr w:rsidR="00692C8B" w:rsidRPr="00DA31AD" w:rsidSect="00B43F93">
      <w:headerReference w:type="first" r:id="rId6"/>
      <w:pgSz w:w="11906" w:h="16838"/>
      <w:pgMar w:top="1519" w:right="1133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CD" w:rsidRDefault="00D241CD" w:rsidP="00AE7B84">
      <w:pPr>
        <w:spacing w:after="0" w:line="240" w:lineRule="auto"/>
      </w:pPr>
      <w:r>
        <w:separator/>
      </w:r>
    </w:p>
  </w:endnote>
  <w:endnote w:type="continuationSeparator" w:id="1">
    <w:p w:rsidR="00D241CD" w:rsidRDefault="00D241CD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CD" w:rsidRDefault="00D241CD" w:rsidP="00AE7B84">
      <w:pPr>
        <w:spacing w:after="0" w:line="240" w:lineRule="auto"/>
      </w:pPr>
      <w:r>
        <w:separator/>
      </w:r>
    </w:p>
  </w:footnote>
  <w:footnote w:type="continuationSeparator" w:id="1">
    <w:p w:rsidR="00D241CD" w:rsidRDefault="00D241CD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6"/>
      <w:gridCol w:w="2835"/>
      <w:gridCol w:w="3232"/>
    </w:tblGrid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Header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Header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7B84"/>
    <w:rsid w:val="00005BD7"/>
    <w:rsid w:val="000069CB"/>
    <w:rsid w:val="00006B01"/>
    <w:rsid w:val="00021252"/>
    <w:rsid w:val="00026ACE"/>
    <w:rsid w:val="0002762C"/>
    <w:rsid w:val="00043ACE"/>
    <w:rsid w:val="00045BAE"/>
    <w:rsid w:val="000534F7"/>
    <w:rsid w:val="000544A8"/>
    <w:rsid w:val="00055C3A"/>
    <w:rsid w:val="00063B95"/>
    <w:rsid w:val="00073F2E"/>
    <w:rsid w:val="000821C5"/>
    <w:rsid w:val="000C2BB4"/>
    <w:rsid w:val="000F3AC3"/>
    <w:rsid w:val="00103E4F"/>
    <w:rsid w:val="001048C4"/>
    <w:rsid w:val="00122CDF"/>
    <w:rsid w:val="00127649"/>
    <w:rsid w:val="00133077"/>
    <w:rsid w:val="001337A4"/>
    <w:rsid w:val="00137A8E"/>
    <w:rsid w:val="0014066D"/>
    <w:rsid w:val="00145EC8"/>
    <w:rsid w:val="0016023F"/>
    <w:rsid w:val="0017659E"/>
    <w:rsid w:val="00176F44"/>
    <w:rsid w:val="00194943"/>
    <w:rsid w:val="001960EC"/>
    <w:rsid w:val="001A35DF"/>
    <w:rsid w:val="001A76DE"/>
    <w:rsid w:val="001A7AF7"/>
    <w:rsid w:val="001B02F1"/>
    <w:rsid w:val="001C5FF1"/>
    <w:rsid w:val="001F1304"/>
    <w:rsid w:val="00216E89"/>
    <w:rsid w:val="0022122D"/>
    <w:rsid w:val="00271A51"/>
    <w:rsid w:val="00271EFA"/>
    <w:rsid w:val="002771BB"/>
    <w:rsid w:val="00283FD8"/>
    <w:rsid w:val="00287CC0"/>
    <w:rsid w:val="002A3546"/>
    <w:rsid w:val="002A5F9F"/>
    <w:rsid w:val="002C041A"/>
    <w:rsid w:val="002C05DE"/>
    <w:rsid w:val="002C1319"/>
    <w:rsid w:val="002E0961"/>
    <w:rsid w:val="002E11CF"/>
    <w:rsid w:val="002E3ABB"/>
    <w:rsid w:val="002E7CEB"/>
    <w:rsid w:val="003104B8"/>
    <w:rsid w:val="00316AF7"/>
    <w:rsid w:val="00316CCC"/>
    <w:rsid w:val="00320F78"/>
    <w:rsid w:val="003468BD"/>
    <w:rsid w:val="00350EDD"/>
    <w:rsid w:val="00357DCE"/>
    <w:rsid w:val="00372355"/>
    <w:rsid w:val="00374477"/>
    <w:rsid w:val="003825BA"/>
    <w:rsid w:val="00396E1C"/>
    <w:rsid w:val="003B1515"/>
    <w:rsid w:val="003C0934"/>
    <w:rsid w:val="003C1DBA"/>
    <w:rsid w:val="003F345F"/>
    <w:rsid w:val="003F3CB3"/>
    <w:rsid w:val="00442C26"/>
    <w:rsid w:val="00447C8C"/>
    <w:rsid w:val="0046323B"/>
    <w:rsid w:val="00476A40"/>
    <w:rsid w:val="004828A0"/>
    <w:rsid w:val="004838DB"/>
    <w:rsid w:val="0049011C"/>
    <w:rsid w:val="004A60C2"/>
    <w:rsid w:val="004E2813"/>
    <w:rsid w:val="004F13B1"/>
    <w:rsid w:val="004F2754"/>
    <w:rsid w:val="005042A5"/>
    <w:rsid w:val="00515236"/>
    <w:rsid w:val="00516B64"/>
    <w:rsid w:val="005201C0"/>
    <w:rsid w:val="005222ED"/>
    <w:rsid w:val="0052323A"/>
    <w:rsid w:val="0052348A"/>
    <w:rsid w:val="0053078F"/>
    <w:rsid w:val="00541648"/>
    <w:rsid w:val="00556F7D"/>
    <w:rsid w:val="00570D7B"/>
    <w:rsid w:val="00572E1E"/>
    <w:rsid w:val="005C59F6"/>
    <w:rsid w:val="005C76F0"/>
    <w:rsid w:val="005E15DF"/>
    <w:rsid w:val="005E44A3"/>
    <w:rsid w:val="005E4F54"/>
    <w:rsid w:val="005F119A"/>
    <w:rsid w:val="005F20C9"/>
    <w:rsid w:val="005F547A"/>
    <w:rsid w:val="006007D3"/>
    <w:rsid w:val="00621B4D"/>
    <w:rsid w:val="00624130"/>
    <w:rsid w:val="0063274B"/>
    <w:rsid w:val="006609BD"/>
    <w:rsid w:val="0066380A"/>
    <w:rsid w:val="00686667"/>
    <w:rsid w:val="00687086"/>
    <w:rsid w:val="00692C8B"/>
    <w:rsid w:val="006A059E"/>
    <w:rsid w:val="006A6961"/>
    <w:rsid w:val="006A7199"/>
    <w:rsid w:val="006B6104"/>
    <w:rsid w:val="006C26E2"/>
    <w:rsid w:val="006C43B3"/>
    <w:rsid w:val="006D26A4"/>
    <w:rsid w:val="006D7FD2"/>
    <w:rsid w:val="006E3387"/>
    <w:rsid w:val="006F5053"/>
    <w:rsid w:val="006F78DB"/>
    <w:rsid w:val="00732B3A"/>
    <w:rsid w:val="00752DE3"/>
    <w:rsid w:val="00756771"/>
    <w:rsid w:val="007655CF"/>
    <w:rsid w:val="00790911"/>
    <w:rsid w:val="00793175"/>
    <w:rsid w:val="007B3359"/>
    <w:rsid w:val="007B4C4E"/>
    <w:rsid w:val="007B5707"/>
    <w:rsid w:val="007B5C82"/>
    <w:rsid w:val="007E67FD"/>
    <w:rsid w:val="00806E64"/>
    <w:rsid w:val="00810676"/>
    <w:rsid w:val="00826A4C"/>
    <w:rsid w:val="008347AB"/>
    <w:rsid w:val="0084771D"/>
    <w:rsid w:val="0086213D"/>
    <w:rsid w:val="0088670E"/>
    <w:rsid w:val="008A37EB"/>
    <w:rsid w:val="008B434E"/>
    <w:rsid w:val="008C054D"/>
    <w:rsid w:val="008D79CE"/>
    <w:rsid w:val="008F6386"/>
    <w:rsid w:val="00901485"/>
    <w:rsid w:val="00903AF3"/>
    <w:rsid w:val="00926342"/>
    <w:rsid w:val="00950B68"/>
    <w:rsid w:val="0095250A"/>
    <w:rsid w:val="00962762"/>
    <w:rsid w:val="0096759D"/>
    <w:rsid w:val="00967A6A"/>
    <w:rsid w:val="00967E09"/>
    <w:rsid w:val="0097433C"/>
    <w:rsid w:val="00987E85"/>
    <w:rsid w:val="009A2AA2"/>
    <w:rsid w:val="009A40BA"/>
    <w:rsid w:val="009B5829"/>
    <w:rsid w:val="009C566A"/>
    <w:rsid w:val="009D712A"/>
    <w:rsid w:val="00A04AA8"/>
    <w:rsid w:val="00A17CBE"/>
    <w:rsid w:val="00A24EB7"/>
    <w:rsid w:val="00A33D5F"/>
    <w:rsid w:val="00A4212A"/>
    <w:rsid w:val="00A44381"/>
    <w:rsid w:val="00A46855"/>
    <w:rsid w:val="00A51041"/>
    <w:rsid w:val="00A61F61"/>
    <w:rsid w:val="00A63288"/>
    <w:rsid w:val="00A738D9"/>
    <w:rsid w:val="00A7722E"/>
    <w:rsid w:val="00A923D4"/>
    <w:rsid w:val="00A94249"/>
    <w:rsid w:val="00AB21AD"/>
    <w:rsid w:val="00AB3F17"/>
    <w:rsid w:val="00AD09FF"/>
    <w:rsid w:val="00AD0B8E"/>
    <w:rsid w:val="00AD40DA"/>
    <w:rsid w:val="00AE7B84"/>
    <w:rsid w:val="00B023F4"/>
    <w:rsid w:val="00B05435"/>
    <w:rsid w:val="00B06390"/>
    <w:rsid w:val="00B1758F"/>
    <w:rsid w:val="00B33852"/>
    <w:rsid w:val="00B35BBB"/>
    <w:rsid w:val="00B36B18"/>
    <w:rsid w:val="00B41ACC"/>
    <w:rsid w:val="00B42B22"/>
    <w:rsid w:val="00B43F93"/>
    <w:rsid w:val="00B466ED"/>
    <w:rsid w:val="00B57FDA"/>
    <w:rsid w:val="00B632C4"/>
    <w:rsid w:val="00B64D4A"/>
    <w:rsid w:val="00B77A4B"/>
    <w:rsid w:val="00BA73B8"/>
    <w:rsid w:val="00BA7849"/>
    <w:rsid w:val="00BB2AFA"/>
    <w:rsid w:val="00BC3B94"/>
    <w:rsid w:val="00BD40B4"/>
    <w:rsid w:val="00BD70A0"/>
    <w:rsid w:val="00BF406D"/>
    <w:rsid w:val="00C056A3"/>
    <w:rsid w:val="00C3755F"/>
    <w:rsid w:val="00C45125"/>
    <w:rsid w:val="00C661F3"/>
    <w:rsid w:val="00C670FE"/>
    <w:rsid w:val="00C71AF1"/>
    <w:rsid w:val="00C73F16"/>
    <w:rsid w:val="00C757B2"/>
    <w:rsid w:val="00C85BCE"/>
    <w:rsid w:val="00C952C1"/>
    <w:rsid w:val="00CA3EEB"/>
    <w:rsid w:val="00CB5103"/>
    <w:rsid w:val="00CC251D"/>
    <w:rsid w:val="00CC4788"/>
    <w:rsid w:val="00CC5ADE"/>
    <w:rsid w:val="00CD7370"/>
    <w:rsid w:val="00CE6617"/>
    <w:rsid w:val="00D12533"/>
    <w:rsid w:val="00D241CD"/>
    <w:rsid w:val="00D2578E"/>
    <w:rsid w:val="00D34850"/>
    <w:rsid w:val="00D40E15"/>
    <w:rsid w:val="00D63818"/>
    <w:rsid w:val="00D638E2"/>
    <w:rsid w:val="00D63D90"/>
    <w:rsid w:val="00D65750"/>
    <w:rsid w:val="00D728E7"/>
    <w:rsid w:val="00D74A62"/>
    <w:rsid w:val="00D81D92"/>
    <w:rsid w:val="00D876E4"/>
    <w:rsid w:val="00DA31AD"/>
    <w:rsid w:val="00E207D7"/>
    <w:rsid w:val="00E276EC"/>
    <w:rsid w:val="00E36485"/>
    <w:rsid w:val="00E456D9"/>
    <w:rsid w:val="00E670AA"/>
    <w:rsid w:val="00E76005"/>
    <w:rsid w:val="00EB5FAE"/>
    <w:rsid w:val="00EB7618"/>
    <w:rsid w:val="00EE0316"/>
    <w:rsid w:val="00EE639C"/>
    <w:rsid w:val="00EF1BB1"/>
    <w:rsid w:val="00F2044F"/>
    <w:rsid w:val="00F369D7"/>
    <w:rsid w:val="00F41158"/>
    <w:rsid w:val="00F414FC"/>
    <w:rsid w:val="00F738AF"/>
    <w:rsid w:val="00FB7D56"/>
    <w:rsid w:val="00FD1C4C"/>
    <w:rsid w:val="00FE5F81"/>
    <w:rsid w:val="00FF00C0"/>
    <w:rsid w:val="00FF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84"/>
  </w:style>
  <w:style w:type="paragraph" w:styleId="Footer">
    <w:name w:val="footer"/>
    <w:basedOn w:val="Normal"/>
    <w:link w:val="Foot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84"/>
  </w:style>
  <w:style w:type="table" w:styleId="TableGrid">
    <w:name w:val="Table Grid"/>
    <w:basedOn w:val="TableNormal"/>
    <w:uiPriority w:val="39"/>
    <w:rsid w:val="00F7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F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6A059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tab1">
    <w:name w:val="tab1"/>
    <w:basedOn w:val="DefaultParagraphFont"/>
    <w:rsid w:val="006A059E"/>
  </w:style>
  <w:style w:type="character" w:customStyle="1" w:styleId="tab">
    <w:name w:val="tab"/>
    <w:basedOn w:val="DefaultParagraphFont"/>
    <w:rsid w:val="005E4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6A059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tab1">
    <w:name w:val="tab1"/>
    <w:basedOn w:val="Fontdeparagrafimplicit"/>
    <w:rsid w:val="006A059E"/>
  </w:style>
  <w:style w:type="character" w:customStyle="1" w:styleId="tab">
    <w:name w:val="tab"/>
    <w:basedOn w:val="Fontdeparagrafimplicit"/>
    <w:rsid w:val="005E4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ana</cp:lastModifiedBy>
  <cp:revision>2</cp:revision>
  <cp:lastPrinted>2017-06-23T12:04:00Z</cp:lastPrinted>
  <dcterms:created xsi:type="dcterms:W3CDTF">2018-10-18T12:55:00Z</dcterms:created>
  <dcterms:modified xsi:type="dcterms:W3CDTF">2018-10-18T12:55:00Z</dcterms:modified>
</cp:coreProperties>
</file>